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8323D" w14:textId="1F944DD3" w:rsidR="00111D96" w:rsidRDefault="00F34705" w:rsidP="00F34705">
      <w:pPr>
        <w:ind w:leftChars="-177" w:left="-425" w:rightChars="-117" w:right="-281"/>
        <w:jc w:val="center"/>
        <w:rPr>
          <w:rFonts w:ascii="標楷體" w:eastAsia="標楷體" w:hAnsi="標楷體"/>
          <w:sz w:val="32"/>
          <w:szCs w:val="32"/>
        </w:rPr>
      </w:pPr>
      <w:r>
        <w:rPr>
          <w:rFonts w:ascii="標楷體" w:eastAsia="標楷體" w:hAnsi="標楷體" w:hint="eastAsia"/>
          <w:sz w:val="32"/>
          <w:szCs w:val="32"/>
        </w:rPr>
        <w:t>「</w:t>
      </w:r>
      <w:r w:rsidR="009E25B8" w:rsidRPr="00D52AFC">
        <w:rPr>
          <w:rFonts w:ascii="標楷體" w:eastAsia="標楷體" w:hAnsi="標楷體" w:hint="eastAsia"/>
          <w:sz w:val="32"/>
          <w:szCs w:val="32"/>
        </w:rPr>
        <w:t>信用合作社資通系統與服務供應鏈風險管理規範</w:t>
      </w:r>
      <w:r>
        <w:rPr>
          <w:rFonts w:ascii="標楷體" w:eastAsia="標楷體" w:hAnsi="標楷體" w:hint="eastAsia"/>
          <w:sz w:val="32"/>
          <w:szCs w:val="32"/>
        </w:rPr>
        <w:t>」</w:t>
      </w:r>
    </w:p>
    <w:p w14:paraId="7F0C87AC" w14:textId="05C2D61D" w:rsidR="00623E26" w:rsidRDefault="008F6AE5" w:rsidP="00607811">
      <w:pPr>
        <w:spacing w:line="320" w:lineRule="exact"/>
        <w:jc w:val="right"/>
        <w:rPr>
          <w:rFonts w:ascii="標楷體" w:eastAsia="標楷體" w:hAnsi="標楷體"/>
          <w:szCs w:val="24"/>
        </w:rPr>
      </w:pPr>
      <w:r w:rsidRPr="008F6AE5">
        <w:rPr>
          <w:rFonts w:ascii="標楷體" w:eastAsia="標楷體" w:hAnsi="標楷體" w:hint="eastAsia"/>
          <w:szCs w:val="24"/>
        </w:rPr>
        <w:t>本聯社第15屆第3次、第5次理事社務會議</w:t>
      </w:r>
      <w:r w:rsidR="00D20455" w:rsidRPr="00D20455">
        <w:rPr>
          <w:rFonts w:ascii="標楷體" w:eastAsia="標楷體" w:hAnsi="標楷體" w:hint="eastAsia"/>
          <w:szCs w:val="24"/>
        </w:rPr>
        <w:t>通過</w:t>
      </w:r>
    </w:p>
    <w:p w14:paraId="7DF16D02" w14:textId="088575B7" w:rsidR="008F6AE5" w:rsidRPr="008F6AE5" w:rsidRDefault="008F6AE5" w:rsidP="00607811">
      <w:pPr>
        <w:spacing w:line="320" w:lineRule="exact"/>
        <w:jc w:val="right"/>
        <w:rPr>
          <w:rFonts w:ascii="標楷體" w:eastAsia="標楷體" w:hAnsi="標楷體"/>
          <w:szCs w:val="24"/>
        </w:rPr>
      </w:pPr>
      <w:r w:rsidRPr="008F6AE5">
        <w:rPr>
          <w:rFonts w:ascii="標楷體" w:eastAsia="標楷體" w:hAnsi="標楷體" w:hint="eastAsia"/>
          <w:szCs w:val="24"/>
        </w:rPr>
        <w:t>金管會114年3月13日金管銀合字第1130234039號函洽</w:t>
      </w:r>
      <w:r>
        <w:rPr>
          <w:rFonts w:ascii="標楷體" w:eastAsia="標楷體" w:hAnsi="標楷體" w:hint="eastAsia"/>
          <w:szCs w:val="24"/>
        </w:rPr>
        <w:t>悉</w:t>
      </w:r>
    </w:p>
    <w:p w14:paraId="63763517" w14:textId="74820CE2" w:rsidR="003C0C4D" w:rsidRDefault="008F6AE5" w:rsidP="003C0C4D">
      <w:pPr>
        <w:spacing w:line="320" w:lineRule="exact"/>
        <w:ind w:rightChars="-295" w:right="-708" w:firstLineChars="1000" w:firstLine="2400"/>
        <w:rPr>
          <w:rFonts w:ascii="標楷體" w:eastAsia="標楷體" w:hAnsi="標楷體" w:hint="eastAsia"/>
        </w:rPr>
      </w:pPr>
      <w:r w:rsidRPr="008F6AE5">
        <w:rPr>
          <w:rFonts w:ascii="標楷體" w:eastAsia="標楷體" w:hAnsi="標楷體" w:hint="eastAsia"/>
          <w:szCs w:val="24"/>
        </w:rPr>
        <w:t>本聯社第15屆第</w:t>
      </w:r>
      <w:r>
        <w:rPr>
          <w:rFonts w:ascii="標楷體" w:eastAsia="標楷體" w:hAnsi="標楷體" w:hint="eastAsia"/>
          <w:szCs w:val="24"/>
        </w:rPr>
        <w:t>8</w:t>
      </w:r>
      <w:r w:rsidRPr="008F6AE5">
        <w:rPr>
          <w:rFonts w:ascii="標楷體" w:eastAsia="標楷體" w:hAnsi="標楷體" w:hint="eastAsia"/>
          <w:szCs w:val="24"/>
        </w:rPr>
        <w:t>次理事社務會議</w:t>
      </w:r>
      <w:r w:rsidRPr="00D20455">
        <w:rPr>
          <w:rFonts w:ascii="標楷體" w:eastAsia="標楷體" w:hAnsi="標楷體" w:hint="eastAsia"/>
          <w:szCs w:val="24"/>
        </w:rPr>
        <w:t>通</w:t>
      </w:r>
      <w:r>
        <w:rPr>
          <w:rFonts w:ascii="標楷體" w:eastAsia="標楷體" w:hAnsi="標楷體" w:hint="eastAsia"/>
          <w:szCs w:val="24"/>
        </w:rPr>
        <w:t>過</w:t>
      </w:r>
      <w:r w:rsidR="00870600">
        <w:rPr>
          <w:rFonts w:ascii="標楷體" w:eastAsia="標楷體" w:hAnsi="標楷體" w:hint="eastAsia"/>
          <w:szCs w:val="24"/>
        </w:rPr>
        <w:t>修正</w:t>
      </w:r>
      <w:r w:rsidR="003C0C4D">
        <w:rPr>
          <w:rFonts w:ascii="標楷體" w:eastAsia="標楷體" w:hAnsi="標楷體" w:hint="eastAsia"/>
        </w:rPr>
        <w:t>第3、5、6、7條條文</w:t>
      </w:r>
      <w:r w:rsidR="003C0C4D">
        <w:rPr>
          <w:rFonts w:ascii="標楷體" w:eastAsia="標楷體" w:hAnsi="標楷體" w:hint="eastAsia"/>
        </w:rPr>
        <w:t xml:space="preserve"> </w:t>
      </w:r>
    </w:p>
    <w:p w14:paraId="350A19F9" w14:textId="66E20E13" w:rsidR="00AE12DD" w:rsidRPr="00853200" w:rsidRDefault="00AE12DD" w:rsidP="003C0C4D">
      <w:pPr>
        <w:spacing w:line="320" w:lineRule="exact"/>
        <w:jc w:val="right"/>
        <w:rPr>
          <w:rFonts w:ascii="標楷體" w:eastAsia="標楷體" w:hAnsi="標楷體"/>
          <w:szCs w:val="24"/>
        </w:rPr>
      </w:pPr>
      <w:r w:rsidRPr="008F6AE5">
        <w:rPr>
          <w:rFonts w:ascii="標楷體" w:eastAsia="標楷體" w:hAnsi="標楷體" w:hint="eastAsia"/>
          <w:szCs w:val="24"/>
        </w:rPr>
        <w:t>金管會11</w:t>
      </w:r>
      <w:r>
        <w:rPr>
          <w:rFonts w:ascii="標楷體" w:eastAsia="標楷體" w:hAnsi="標楷體" w:hint="eastAsia"/>
          <w:szCs w:val="24"/>
        </w:rPr>
        <w:t>5</w:t>
      </w:r>
      <w:r w:rsidRPr="008F6AE5">
        <w:rPr>
          <w:rFonts w:ascii="標楷體" w:eastAsia="標楷體" w:hAnsi="標楷體" w:hint="eastAsia"/>
          <w:szCs w:val="24"/>
        </w:rPr>
        <w:t>年</w:t>
      </w:r>
      <w:r>
        <w:rPr>
          <w:rFonts w:ascii="標楷體" w:eastAsia="標楷體" w:hAnsi="標楷體" w:hint="eastAsia"/>
          <w:szCs w:val="24"/>
        </w:rPr>
        <w:t>1</w:t>
      </w:r>
      <w:r w:rsidRPr="008F6AE5">
        <w:rPr>
          <w:rFonts w:ascii="標楷體" w:eastAsia="標楷體" w:hAnsi="標楷體" w:hint="eastAsia"/>
          <w:szCs w:val="24"/>
        </w:rPr>
        <w:t>月</w:t>
      </w:r>
      <w:r>
        <w:rPr>
          <w:rFonts w:ascii="標楷體" w:eastAsia="標楷體" w:hAnsi="標楷體" w:hint="eastAsia"/>
          <w:szCs w:val="24"/>
        </w:rPr>
        <w:t>28</w:t>
      </w:r>
      <w:r w:rsidRPr="008F6AE5">
        <w:rPr>
          <w:rFonts w:ascii="標楷體" w:eastAsia="標楷體" w:hAnsi="標楷體" w:hint="eastAsia"/>
          <w:szCs w:val="24"/>
        </w:rPr>
        <w:t>日金管銀合字第</w:t>
      </w:r>
      <w:r>
        <w:rPr>
          <w:rFonts w:ascii="標楷體" w:eastAsia="標楷體" w:hAnsi="標楷體" w:hint="eastAsia"/>
          <w:szCs w:val="24"/>
        </w:rPr>
        <w:t>1140154497</w:t>
      </w:r>
      <w:r w:rsidRPr="008F6AE5">
        <w:rPr>
          <w:rFonts w:ascii="標楷體" w:eastAsia="標楷體" w:hAnsi="標楷體" w:hint="eastAsia"/>
          <w:szCs w:val="24"/>
        </w:rPr>
        <w:t>號函洽</w:t>
      </w:r>
      <w:r>
        <w:rPr>
          <w:rFonts w:ascii="標楷體" w:eastAsia="標楷體" w:hAnsi="標楷體" w:hint="eastAsia"/>
          <w:szCs w:val="24"/>
        </w:rPr>
        <w:t>悉</w:t>
      </w:r>
    </w:p>
    <w:p w14:paraId="103C4D9E" w14:textId="474A51BA" w:rsidR="00111D96" w:rsidRPr="00D52AFC" w:rsidRDefault="00111D96" w:rsidP="00C02355">
      <w:pPr>
        <w:pStyle w:val="a3"/>
        <w:numPr>
          <w:ilvl w:val="0"/>
          <w:numId w:val="1"/>
        </w:numPr>
        <w:spacing w:beforeLines="50" w:before="180" w:line="400" w:lineRule="exact"/>
        <w:ind w:leftChars="0"/>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中</w:t>
      </w:r>
      <w:r w:rsidR="009E25B8" w:rsidRPr="00D52AFC">
        <w:rPr>
          <w:rFonts w:ascii="標楷體" w:eastAsia="標楷體" w:hAnsi="標楷體" w:cs="新細明體" w:hint="eastAsia"/>
          <w:kern w:val="0"/>
          <w:sz w:val="30"/>
          <w:szCs w:val="30"/>
        </w:rPr>
        <w:t>華民國信用合作社聯合社(以下稱本聯社)為確保信用合作社資通系統委外具有一致性之供應鏈資訊安全風險管理，特訂定本規範</w:t>
      </w:r>
      <w:r w:rsidRPr="00D52AFC">
        <w:rPr>
          <w:rFonts w:ascii="標楷體" w:eastAsia="標楷體" w:hAnsi="標楷體" w:cs="新細明體" w:hint="eastAsia"/>
          <w:kern w:val="0"/>
          <w:sz w:val="30"/>
          <w:szCs w:val="30"/>
        </w:rPr>
        <w:t>。</w:t>
      </w:r>
    </w:p>
    <w:p w14:paraId="092E3A45" w14:textId="68A32C9A" w:rsidR="009E25B8" w:rsidRPr="00D52AFC" w:rsidRDefault="009E25B8" w:rsidP="00C02355">
      <w:pPr>
        <w:pStyle w:val="a3"/>
        <w:spacing w:line="400" w:lineRule="exact"/>
        <w:ind w:leftChars="0" w:left="975"/>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信用合作社之核心資通系統或各類電腦系統，</w:t>
      </w:r>
      <w:r w:rsidR="00623E26" w:rsidRPr="00623E26">
        <w:rPr>
          <w:rFonts w:ascii="標楷體" w:eastAsia="標楷體" w:hAnsi="標楷體" w:cs="新細明體" w:hint="eastAsia"/>
          <w:kern w:val="0"/>
          <w:sz w:val="30"/>
          <w:szCs w:val="30"/>
        </w:rPr>
        <w:t>採委託本聯社南區聯合資訊處理中心(以下稱南資中心)處理本規範相關事務者，應依據本規範之規定辦理；並應要求南資中心於複委託供應商處理本規範相關事務時，亦須依據本規範之規定辦理</w:t>
      </w:r>
      <w:r w:rsidRPr="00D52AFC">
        <w:rPr>
          <w:rFonts w:ascii="標楷體" w:eastAsia="標楷體" w:hAnsi="標楷體" w:cs="新細明體" w:hint="eastAsia"/>
          <w:kern w:val="0"/>
          <w:sz w:val="30"/>
          <w:szCs w:val="30"/>
        </w:rPr>
        <w:t>。</w:t>
      </w:r>
    </w:p>
    <w:p w14:paraId="747A58D3" w14:textId="122F9F0C" w:rsidR="00111D96" w:rsidRPr="00D52AFC" w:rsidRDefault="009E25B8" w:rsidP="00C02355">
      <w:pPr>
        <w:pStyle w:val="a3"/>
        <w:numPr>
          <w:ilvl w:val="0"/>
          <w:numId w:val="1"/>
        </w:numPr>
        <w:spacing w:beforeLines="50" w:before="180" w:line="400" w:lineRule="exact"/>
        <w:ind w:leftChars="0"/>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本規範所稱信用合作社資通系統與服務供應鏈，係指提供信用合作社資通系統之軟硬體產品開發、建置或維運服務的組織或個人(以下稱供應商)，包含其受託者與跨機構合作夥伴。</w:t>
      </w:r>
    </w:p>
    <w:p w14:paraId="3DBE8FC8" w14:textId="77777777" w:rsidR="009E25B8" w:rsidRPr="00D52AFC" w:rsidRDefault="009E25B8" w:rsidP="00C02355">
      <w:pPr>
        <w:widowControl/>
        <w:spacing w:line="400" w:lineRule="exact"/>
        <w:ind w:leftChars="413" w:left="991" w:firstLine="1"/>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適用於本規範之資訊服務係指提供與電腦系統軟體或硬體有關之服務形態，包含系統發展類、維運管理類及雲端服務類。</w:t>
      </w:r>
    </w:p>
    <w:p w14:paraId="5EDA37DB" w14:textId="529EC4BF" w:rsidR="00111D96" w:rsidRPr="00D52AFC" w:rsidRDefault="009E25B8" w:rsidP="009E25B8">
      <w:pPr>
        <w:widowControl/>
        <w:spacing w:line="400" w:lineRule="exact"/>
        <w:ind w:leftChars="413" w:left="991" w:firstLine="1"/>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核心資通系統及第一類電腦系統均適用本規範；第二類及第三類電腦系統以當次合約採購金額為新臺幣壹仟萬元以上者，適用本規範。</w:t>
      </w:r>
    </w:p>
    <w:p w14:paraId="2FEEAC1A" w14:textId="1E377D44" w:rsidR="009E25B8" w:rsidRPr="00D52AFC" w:rsidRDefault="009E25B8" w:rsidP="009E25B8">
      <w:pPr>
        <w:widowControl/>
        <w:spacing w:line="400" w:lineRule="exact"/>
        <w:ind w:leftChars="413" w:left="991" w:firstLine="1"/>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信用合作社之資通系統供應鏈如為雲端服務、物聯網設備業者，除本規範外，亦應遵循金融監督管理委員會、中華民國銀行商業同業公會全國聯合會及本聯社所訂定之相關規範。</w:t>
      </w:r>
    </w:p>
    <w:p w14:paraId="749DB947" w14:textId="46E10432" w:rsidR="00111D96" w:rsidRPr="00D52AFC" w:rsidRDefault="00C82EA1" w:rsidP="00BF226D">
      <w:pPr>
        <w:pStyle w:val="a3"/>
        <w:widowControl/>
        <w:numPr>
          <w:ilvl w:val="0"/>
          <w:numId w:val="1"/>
        </w:numPr>
        <w:spacing w:beforeLines="50" w:before="180" w:line="400" w:lineRule="exact"/>
        <w:ind w:leftChars="0"/>
        <w:rPr>
          <w:rFonts w:eastAsia="標楷體"/>
          <w:kern w:val="0"/>
          <w:sz w:val="30"/>
          <w:szCs w:val="30"/>
        </w:rPr>
      </w:pPr>
      <w:r w:rsidRPr="00D52AFC">
        <w:rPr>
          <w:rFonts w:eastAsia="標楷體" w:hint="eastAsia"/>
          <w:color w:val="000000"/>
          <w:kern w:val="0"/>
          <w:sz w:val="30"/>
          <w:szCs w:val="30"/>
        </w:rPr>
        <w:t>本規範用詞定義如下：</w:t>
      </w:r>
    </w:p>
    <w:p w14:paraId="61D9C822" w14:textId="7768B98C"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核心業務：由信用合作社依業務運作中斷對客戶影響數等風險評估結果予以決定，評估範圍如：存款業務、放款業務、匯款業務等</w:t>
      </w:r>
      <w:r w:rsidR="00111D96" w:rsidRPr="00BF226D">
        <w:rPr>
          <w:rFonts w:eastAsia="標楷體" w:hint="eastAsia"/>
          <w:kern w:val="0"/>
          <w:sz w:val="30"/>
          <w:szCs w:val="30"/>
        </w:rPr>
        <w:t>。</w:t>
      </w:r>
    </w:p>
    <w:p w14:paraId="7ADFBD8E" w14:textId="3B0F11D9"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核心資通系統：支持核心業務持續運作必要之系統或設備</w:t>
      </w:r>
      <w:r w:rsidR="00111D96" w:rsidRPr="00BF226D">
        <w:rPr>
          <w:rFonts w:eastAsia="標楷體" w:hint="eastAsia"/>
          <w:kern w:val="0"/>
          <w:sz w:val="30"/>
          <w:szCs w:val="30"/>
        </w:rPr>
        <w:t>。</w:t>
      </w:r>
    </w:p>
    <w:p w14:paraId="7477DE6E" w14:textId="10DB5998"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第一類電腦系統：直接提供客戶自動化服務或對營運有重大影響之系統（如：電子銀行、分行櫃台、</w:t>
      </w:r>
      <w:r w:rsidRPr="00C13887">
        <w:rPr>
          <w:rFonts w:ascii="標楷體" w:eastAsia="標楷體" w:hAnsi="標楷體"/>
          <w:kern w:val="0"/>
          <w:sz w:val="30"/>
          <w:szCs w:val="30"/>
        </w:rPr>
        <w:t>ATM</w:t>
      </w:r>
      <w:r w:rsidRPr="00BF226D">
        <w:rPr>
          <w:rFonts w:eastAsia="標楷體" w:hint="eastAsia"/>
          <w:kern w:val="0"/>
          <w:sz w:val="30"/>
          <w:szCs w:val="30"/>
        </w:rPr>
        <w:t>自動化服務等系統）</w:t>
      </w:r>
      <w:r w:rsidR="00111D96" w:rsidRPr="00BF226D">
        <w:rPr>
          <w:rFonts w:eastAsia="標楷體" w:hint="eastAsia"/>
          <w:kern w:val="0"/>
          <w:sz w:val="30"/>
          <w:szCs w:val="30"/>
        </w:rPr>
        <w:t>。</w:t>
      </w:r>
    </w:p>
    <w:p w14:paraId="359D06E4" w14:textId="1F58B503"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第二類電腦系統：經人工介入以直接或間接提供客戶服務之系統（如：作業中心、客戶服務等系統）</w:t>
      </w:r>
      <w:r w:rsidR="00111D96" w:rsidRPr="00BF226D">
        <w:rPr>
          <w:rFonts w:eastAsia="標楷體" w:hint="eastAsia"/>
          <w:kern w:val="0"/>
          <w:sz w:val="30"/>
          <w:szCs w:val="30"/>
        </w:rPr>
        <w:t>。</w:t>
      </w:r>
    </w:p>
    <w:p w14:paraId="641E2614" w14:textId="1701E2B0"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lastRenderedPageBreak/>
        <w:t>第三類電腦系統：未接觸客戶資訊或服務且對營運無影響之系統或設備（如：人資、財會、總務等系統、物聯網設備）</w:t>
      </w:r>
      <w:r w:rsidR="00111D96" w:rsidRPr="00BF226D">
        <w:rPr>
          <w:rFonts w:eastAsia="標楷體" w:hint="eastAsia"/>
          <w:kern w:val="0"/>
          <w:sz w:val="30"/>
          <w:szCs w:val="30"/>
        </w:rPr>
        <w:t>。</w:t>
      </w:r>
    </w:p>
    <w:p w14:paraId="73A7B184" w14:textId="41875214"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供應鏈資訊安全風險：源自供應商的資訊安全議題（如：離職員工持有系統帳號、密碼及原始碼、對外服務系統管控不周或其他資訊安全事件等），可能對信用合作社資通系統與資訊服務的機密性、完整性或可用性造成衝擊</w:t>
      </w:r>
      <w:r w:rsidR="00111D96" w:rsidRPr="00BF226D">
        <w:rPr>
          <w:rFonts w:eastAsia="標楷體" w:hint="eastAsia"/>
          <w:kern w:val="0"/>
          <w:sz w:val="30"/>
          <w:szCs w:val="30"/>
        </w:rPr>
        <w:t>。</w:t>
      </w:r>
    </w:p>
    <w:p w14:paraId="03521682" w14:textId="151E60FC" w:rsidR="00111D96" w:rsidRPr="00D52AFC"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邊際防護：管控信用合作社與供應商之網路介接以限制未經授權之網路傳輸存取（如：內外網路架構、存取控制及資料傳輸等）</w:t>
      </w:r>
      <w:r w:rsidR="00111D96" w:rsidRPr="00D52AFC">
        <w:rPr>
          <w:rFonts w:eastAsia="標楷體" w:hint="eastAsia"/>
          <w:kern w:val="0"/>
          <w:sz w:val="30"/>
          <w:szCs w:val="30"/>
        </w:rPr>
        <w:t>。</w:t>
      </w:r>
    </w:p>
    <w:p w14:paraId="394EC1FA" w14:textId="19D0D57A" w:rsidR="00C82EA1"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機敏資料：係指如登入帳號、固定密碼、重要參數、晶片金融卡</w:t>
      </w:r>
      <w:r w:rsidR="00BF226D">
        <w:rPr>
          <w:rFonts w:eastAsia="標楷體" w:hint="eastAsia"/>
          <w:kern w:val="0"/>
          <w:sz w:val="30"/>
          <w:szCs w:val="30"/>
        </w:rPr>
        <w:t>基</w:t>
      </w:r>
      <w:r w:rsidRPr="00D52AFC">
        <w:rPr>
          <w:rFonts w:eastAsia="標楷體" w:hint="eastAsia"/>
          <w:kern w:val="0"/>
          <w:sz w:val="30"/>
          <w:szCs w:val="30"/>
        </w:rPr>
        <w:t>碼、憑證私鑰、個人資料及製卡個人化資料等。</w:t>
      </w:r>
    </w:p>
    <w:p w14:paraId="431B59EC" w14:textId="28BEAEA8" w:rsidR="00A13351" w:rsidRPr="008111DA" w:rsidRDefault="008F6AE5" w:rsidP="008F6AE5">
      <w:pPr>
        <w:widowControl/>
        <w:spacing w:line="400" w:lineRule="exact"/>
        <w:ind w:left="1559" w:hanging="567"/>
        <w:jc w:val="both"/>
        <w:rPr>
          <w:rFonts w:eastAsia="標楷體"/>
          <w:kern w:val="0"/>
          <w:sz w:val="30"/>
          <w:szCs w:val="30"/>
        </w:rPr>
      </w:pPr>
      <w:r w:rsidRPr="008111DA">
        <w:rPr>
          <w:rFonts w:eastAsia="標楷體" w:hint="eastAsia"/>
          <w:kern w:val="0"/>
          <w:sz w:val="30"/>
          <w:szCs w:val="30"/>
        </w:rPr>
        <w:t>九</w:t>
      </w:r>
      <w:r w:rsidRPr="008111DA">
        <w:rPr>
          <w:rFonts w:ascii="標楷體" w:eastAsia="標楷體" w:hAnsi="標楷體" w:hint="eastAsia"/>
          <w:kern w:val="0"/>
          <w:sz w:val="30"/>
          <w:szCs w:val="30"/>
        </w:rPr>
        <w:t>、</w:t>
      </w:r>
      <w:r w:rsidR="00A13351" w:rsidRPr="008111DA">
        <w:rPr>
          <w:rFonts w:eastAsia="標楷體" w:hint="eastAsia"/>
          <w:kern w:val="0"/>
          <w:sz w:val="30"/>
          <w:szCs w:val="30"/>
        </w:rPr>
        <w:t>實質受益人：指對供應商提供之產品或服務具最終所有權或控制權之自然人。</w:t>
      </w:r>
    </w:p>
    <w:p w14:paraId="3083109B" w14:textId="14586664" w:rsidR="00A13351" w:rsidRPr="008111DA" w:rsidRDefault="008F6AE5" w:rsidP="008F6AE5">
      <w:pPr>
        <w:widowControl/>
        <w:spacing w:line="400" w:lineRule="exact"/>
        <w:ind w:left="1559" w:hanging="567"/>
        <w:jc w:val="both"/>
        <w:rPr>
          <w:rFonts w:eastAsia="標楷體"/>
          <w:kern w:val="0"/>
          <w:sz w:val="30"/>
          <w:szCs w:val="30"/>
        </w:rPr>
      </w:pPr>
      <w:r w:rsidRPr="008111DA">
        <w:rPr>
          <w:rFonts w:eastAsia="標楷體" w:hint="eastAsia"/>
          <w:kern w:val="0"/>
          <w:sz w:val="30"/>
          <w:szCs w:val="30"/>
        </w:rPr>
        <w:t>十</w:t>
      </w:r>
      <w:r w:rsidRPr="008111DA">
        <w:rPr>
          <w:rFonts w:ascii="標楷體" w:eastAsia="標楷體" w:hAnsi="標楷體" w:hint="eastAsia"/>
          <w:kern w:val="0"/>
          <w:sz w:val="30"/>
          <w:szCs w:val="30"/>
        </w:rPr>
        <w:t>、</w:t>
      </w:r>
      <w:r w:rsidR="00A13351" w:rsidRPr="008111DA">
        <w:rPr>
          <w:rFonts w:eastAsia="標楷體" w:hint="eastAsia"/>
          <w:kern w:val="0"/>
          <w:sz w:val="30"/>
          <w:szCs w:val="30"/>
        </w:rPr>
        <w:t>控制權來源國：指直接、間接持有提供該產品或服務之供應商股份或資本超過百分之二十五者所屬國家。</w:t>
      </w:r>
    </w:p>
    <w:p w14:paraId="7F362EF2" w14:textId="3B6C7F46" w:rsidR="00111D96" w:rsidRPr="00D52AFC" w:rsidRDefault="008824DA" w:rsidP="00E02EDD">
      <w:pPr>
        <w:pStyle w:val="a3"/>
        <w:widowControl/>
        <w:numPr>
          <w:ilvl w:val="0"/>
          <w:numId w:val="1"/>
        </w:numPr>
        <w:overflowPunct w:val="0"/>
        <w:spacing w:beforeLines="50" w:before="180" w:line="400" w:lineRule="exact"/>
        <w:ind w:leftChars="0"/>
        <w:jc w:val="both"/>
        <w:rPr>
          <w:rFonts w:eastAsia="標楷體"/>
          <w:kern w:val="0"/>
          <w:sz w:val="30"/>
          <w:szCs w:val="30"/>
        </w:rPr>
      </w:pPr>
      <w:r w:rsidRPr="00D52AFC">
        <w:rPr>
          <w:rFonts w:eastAsia="標楷體" w:hint="eastAsia"/>
          <w:kern w:val="0"/>
          <w:sz w:val="30"/>
          <w:szCs w:val="30"/>
        </w:rPr>
        <w:t>資通系統與服務委外前，應分析及規劃下列供應鏈資訊安全事項：</w:t>
      </w:r>
    </w:p>
    <w:p w14:paraId="5CB4032F" w14:textId="77CE7BB6" w:rsidR="00111D96" w:rsidRPr="00D52AFC" w:rsidRDefault="008824DA" w:rsidP="00D22797">
      <w:pPr>
        <w:pStyle w:val="a3"/>
        <w:widowControl/>
        <w:numPr>
          <w:ilvl w:val="0"/>
          <w:numId w:val="28"/>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應針對擬委外之項目執行資訊安全可行性分析：</w:t>
      </w:r>
    </w:p>
    <w:p w14:paraId="7A144CAD" w14:textId="4828FF6F" w:rsidR="008824DA" w:rsidRPr="00D52AFC" w:rsidRDefault="008824DA" w:rsidP="004F631F">
      <w:pPr>
        <w:pStyle w:val="a3"/>
        <w:widowControl/>
        <w:numPr>
          <w:ilvl w:val="1"/>
          <w:numId w:val="17"/>
        </w:numPr>
        <w:spacing w:line="400" w:lineRule="exact"/>
        <w:ind w:leftChars="0" w:left="2127" w:hanging="567"/>
        <w:jc w:val="both"/>
        <w:rPr>
          <w:rFonts w:eastAsia="標楷體"/>
          <w:kern w:val="0"/>
          <w:sz w:val="30"/>
          <w:szCs w:val="30"/>
        </w:rPr>
      </w:pPr>
      <w:r w:rsidRPr="00D52AFC">
        <w:rPr>
          <w:rFonts w:eastAsia="標楷體" w:hint="eastAsia"/>
          <w:kern w:val="0"/>
          <w:sz w:val="30"/>
          <w:szCs w:val="30"/>
        </w:rPr>
        <w:t>分析委外項目之資訊安全風險</w:t>
      </w:r>
      <w:r w:rsidR="00CC0C15">
        <w:rPr>
          <w:rFonts w:ascii="標楷體" w:eastAsia="標楷體" w:hAnsi="標楷體" w:hint="eastAsia"/>
          <w:kern w:val="0"/>
          <w:sz w:val="30"/>
          <w:szCs w:val="30"/>
        </w:rPr>
        <w:t>（</w:t>
      </w:r>
      <w:r w:rsidRPr="00D52AFC">
        <w:rPr>
          <w:rFonts w:eastAsia="標楷體" w:hint="eastAsia"/>
          <w:kern w:val="0"/>
          <w:sz w:val="30"/>
          <w:szCs w:val="30"/>
        </w:rPr>
        <w:t>如：可能受影響之資訊資產、流程及作業環境</w:t>
      </w:r>
      <w:r w:rsidR="00CC0C15">
        <w:rPr>
          <w:rFonts w:ascii="標楷體" w:eastAsia="標楷體" w:hAnsi="標楷體" w:hint="eastAsia"/>
          <w:kern w:val="0"/>
          <w:sz w:val="30"/>
          <w:szCs w:val="30"/>
        </w:rPr>
        <w:t>）</w:t>
      </w:r>
      <w:r w:rsidRPr="00D52AFC">
        <w:rPr>
          <w:rFonts w:eastAsia="標楷體" w:hint="eastAsia"/>
          <w:kern w:val="0"/>
          <w:sz w:val="30"/>
          <w:szCs w:val="30"/>
        </w:rPr>
        <w:t>與委外可行性，並依據分析結果擬訂資訊安全要求。</w:t>
      </w:r>
    </w:p>
    <w:p w14:paraId="3D806E84" w14:textId="0FA39B4E" w:rsidR="008824DA" w:rsidRPr="00D52AFC" w:rsidRDefault="008824DA" w:rsidP="004F631F">
      <w:pPr>
        <w:pStyle w:val="a3"/>
        <w:widowControl/>
        <w:numPr>
          <w:ilvl w:val="1"/>
          <w:numId w:val="17"/>
        </w:numPr>
        <w:spacing w:line="400" w:lineRule="exact"/>
        <w:ind w:leftChars="0" w:left="2127" w:hanging="567"/>
        <w:jc w:val="both"/>
        <w:rPr>
          <w:rFonts w:eastAsia="標楷體"/>
          <w:kern w:val="0"/>
          <w:sz w:val="30"/>
          <w:szCs w:val="30"/>
        </w:rPr>
      </w:pPr>
      <w:r w:rsidRPr="00D52AFC">
        <w:rPr>
          <w:rFonts w:eastAsia="標楷體" w:hint="eastAsia"/>
          <w:kern w:val="0"/>
          <w:sz w:val="30"/>
          <w:szCs w:val="30"/>
        </w:rPr>
        <w:t>將擬委外項目之資訊安全要求列入成本估算。</w:t>
      </w:r>
    </w:p>
    <w:p w14:paraId="00EB0A01" w14:textId="7506374F" w:rsidR="00111D96" w:rsidRPr="00D52AFC" w:rsidRDefault="008824DA" w:rsidP="00D22797">
      <w:pPr>
        <w:pStyle w:val="a3"/>
        <w:widowControl/>
        <w:numPr>
          <w:ilvl w:val="0"/>
          <w:numId w:val="28"/>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委外開發項目如有下列情形者，其專案成員應有資訊安全人員參與，以協助管理資訊安全風險：</w:t>
      </w:r>
    </w:p>
    <w:p w14:paraId="1A87F3FD" w14:textId="4FDCFBA0" w:rsidR="008824DA" w:rsidRPr="00D52AFC" w:rsidRDefault="008824DA" w:rsidP="004F631F">
      <w:pPr>
        <w:pStyle w:val="a3"/>
        <w:widowControl/>
        <w:numPr>
          <w:ilvl w:val="1"/>
          <w:numId w:val="28"/>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屬核心資通系統與第一類電腦系統。</w:t>
      </w:r>
    </w:p>
    <w:p w14:paraId="03F91847" w14:textId="4DEAD40E" w:rsidR="00111D96" w:rsidRPr="00D52AFC" w:rsidRDefault="008824DA" w:rsidP="004F631F">
      <w:pPr>
        <w:pStyle w:val="a3"/>
        <w:widowControl/>
        <w:numPr>
          <w:ilvl w:val="1"/>
          <w:numId w:val="28"/>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屬第二或第三類電腦系統，且供應商於契約存續期間得存取信用合作社機敏資料。</w:t>
      </w:r>
    </w:p>
    <w:p w14:paraId="06250D1A" w14:textId="3AA1869E"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kern w:val="0"/>
          <w:sz w:val="30"/>
          <w:szCs w:val="30"/>
        </w:rPr>
        <w:t>選擇供應商前，應執行下列事項</w:t>
      </w:r>
      <w:r w:rsidR="00111D96" w:rsidRPr="00D52AFC">
        <w:rPr>
          <w:rFonts w:eastAsia="標楷體" w:hint="eastAsia"/>
          <w:kern w:val="0"/>
          <w:sz w:val="30"/>
          <w:szCs w:val="30"/>
        </w:rPr>
        <w:t>：</w:t>
      </w:r>
    </w:p>
    <w:p w14:paraId="56743F7D" w14:textId="1E5AD7CF" w:rsidR="00111D96" w:rsidRPr="00D52AFC" w:rsidRDefault="008824DA" w:rsidP="008B6C5B">
      <w:pPr>
        <w:pStyle w:val="a3"/>
        <w:widowControl/>
        <w:numPr>
          <w:ilvl w:val="0"/>
          <w:numId w:val="21"/>
        </w:numPr>
        <w:overflowPunct w:val="0"/>
        <w:spacing w:line="400" w:lineRule="exact"/>
        <w:ind w:leftChars="0" w:left="1559" w:hanging="567"/>
        <w:jc w:val="both"/>
        <w:rPr>
          <w:rFonts w:eastAsia="標楷體"/>
          <w:kern w:val="0"/>
          <w:sz w:val="30"/>
          <w:szCs w:val="30"/>
        </w:rPr>
      </w:pPr>
      <w:r w:rsidRPr="00D52AFC">
        <w:rPr>
          <w:rFonts w:eastAsia="標楷體" w:hint="eastAsia"/>
          <w:kern w:val="0"/>
          <w:sz w:val="30"/>
          <w:szCs w:val="30"/>
        </w:rPr>
        <w:t>應依據委外項目之性質訂定供應商需求建議書，內容應明列</w:t>
      </w:r>
      <w:r w:rsidR="00111D96" w:rsidRPr="00D52AFC">
        <w:rPr>
          <w:rFonts w:eastAsia="標楷體" w:hint="eastAsia"/>
          <w:kern w:val="0"/>
          <w:sz w:val="30"/>
          <w:szCs w:val="30"/>
        </w:rPr>
        <w:t>：</w:t>
      </w:r>
    </w:p>
    <w:p w14:paraId="44B47C38" w14:textId="42ED9B0D" w:rsidR="00111D96" w:rsidRPr="00D52AFC" w:rsidRDefault="008824DA" w:rsidP="004F631F">
      <w:pPr>
        <w:pStyle w:val="a3"/>
        <w:widowControl/>
        <w:numPr>
          <w:ilvl w:val="0"/>
          <w:numId w:val="19"/>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供應商需符合之專業資格與資訊安全要求</w:t>
      </w:r>
      <w:r w:rsidR="00111D96" w:rsidRPr="00D52AFC">
        <w:rPr>
          <w:rFonts w:eastAsia="標楷體" w:hint="eastAsia"/>
          <w:kern w:val="0"/>
          <w:sz w:val="30"/>
          <w:szCs w:val="30"/>
        </w:rPr>
        <w:t>。</w:t>
      </w:r>
    </w:p>
    <w:p w14:paraId="5B0E5A11" w14:textId="69EB1BBF" w:rsidR="00111D96" w:rsidRPr="00D52AFC" w:rsidRDefault="008824DA" w:rsidP="004F631F">
      <w:pPr>
        <w:pStyle w:val="a3"/>
        <w:widowControl/>
        <w:numPr>
          <w:ilvl w:val="0"/>
          <w:numId w:val="19"/>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資訊安全要求之服務水準</w:t>
      </w:r>
      <w:r w:rsidR="00111D96" w:rsidRPr="00D52AFC">
        <w:rPr>
          <w:rFonts w:eastAsia="標楷體" w:hint="eastAsia"/>
          <w:kern w:val="0"/>
          <w:sz w:val="30"/>
          <w:szCs w:val="30"/>
        </w:rPr>
        <w:t>。</w:t>
      </w:r>
    </w:p>
    <w:p w14:paraId="77322F98" w14:textId="78569120" w:rsidR="00111D96" w:rsidRPr="00BF226D" w:rsidRDefault="008824DA" w:rsidP="00D22797">
      <w:pPr>
        <w:pStyle w:val="a3"/>
        <w:widowControl/>
        <w:numPr>
          <w:ilvl w:val="0"/>
          <w:numId w:val="21"/>
        </w:numPr>
        <w:spacing w:line="400" w:lineRule="exact"/>
        <w:ind w:leftChars="0" w:left="1559" w:hanging="567"/>
        <w:jc w:val="both"/>
        <w:rPr>
          <w:rFonts w:eastAsia="標楷體"/>
          <w:kern w:val="0"/>
          <w:sz w:val="30"/>
          <w:szCs w:val="30"/>
        </w:rPr>
      </w:pPr>
      <w:r w:rsidRPr="00BF226D">
        <w:rPr>
          <w:rFonts w:eastAsia="標楷體" w:hint="eastAsia"/>
          <w:kern w:val="0"/>
          <w:sz w:val="30"/>
          <w:szCs w:val="30"/>
        </w:rPr>
        <w:lastRenderedPageBreak/>
        <w:t>選擇供應商過程，如涉及信用合作社資訊交換，信用合作社應備妥保密協議書，並於資訊交換前完成簽署。</w:t>
      </w:r>
    </w:p>
    <w:p w14:paraId="181897BC" w14:textId="534EB990" w:rsidR="00111D96" w:rsidRPr="00BF226D" w:rsidRDefault="008824DA" w:rsidP="00D22797">
      <w:pPr>
        <w:pStyle w:val="a3"/>
        <w:widowControl/>
        <w:numPr>
          <w:ilvl w:val="0"/>
          <w:numId w:val="21"/>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應執行安全評估以選任合適之供應商：</w:t>
      </w:r>
    </w:p>
    <w:p w14:paraId="0149A3C5" w14:textId="491ED798" w:rsidR="008824DA" w:rsidRPr="00D52AFC"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注意作業委託供應商對信用合作社服務集中度之適度分散，如存在集中度過高之疑慮，應依評估結果擬訂對應之風險處理措施。</w:t>
      </w:r>
    </w:p>
    <w:p w14:paraId="3F41B64A" w14:textId="335BEE93" w:rsidR="008824DA" w:rsidRPr="00D52AFC"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供應商對所委託項目之資訊安全管理機制。</w:t>
      </w:r>
    </w:p>
    <w:p w14:paraId="68DC4721" w14:textId="2E3B0FF2" w:rsidR="008824DA" w:rsidRPr="008111DA"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8111DA">
        <w:rPr>
          <w:rFonts w:eastAsia="標楷體" w:hint="eastAsia"/>
          <w:kern w:val="0"/>
          <w:sz w:val="30"/>
          <w:szCs w:val="30"/>
        </w:rPr>
        <w:t>供應商與其</w:t>
      </w:r>
      <w:r w:rsidR="00A13351" w:rsidRPr="008111DA">
        <w:rPr>
          <w:rFonts w:eastAsia="標楷體" w:hint="eastAsia"/>
          <w:kern w:val="0"/>
          <w:sz w:val="30"/>
          <w:szCs w:val="30"/>
        </w:rPr>
        <w:t>產品或服務提供地、實質受益人或控制權來源國是否符合國內相關規範要求，以確保客戶資料安全，降低資通風險</w:t>
      </w:r>
      <w:r w:rsidRPr="008111DA">
        <w:rPr>
          <w:rFonts w:eastAsia="標楷體" w:hint="eastAsia"/>
          <w:kern w:val="0"/>
          <w:sz w:val="30"/>
          <w:szCs w:val="30"/>
        </w:rPr>
        <w:t>。</w:t>
      </w:r>
    </w:p>
    <w:p w14:paraId="5C690D64" w14:textId="6FE77C8F"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kern w:val="0"/>
          <w:sz w:val="30"/>
          <w:szCs w:val="30"/>
        </w:rPr>
        <w:t>供應商之委託契約或相關文件中，應明確約定下列事項</w:t>
      </w:r>
      <w:r w:rsidR="00111D96" w:rsidRPr="00D52AFC">
        <w:rPr>
          <w:rFonts w:eastAsia="標楷體" w:hint="eastAsia"/>
          <w:kern w:val="0"/>
          <w:sz w:val="30"/>
          <w:szCs w:val="30"/>
        </w:rPr>
        <w:t>：</w:t>
      </w:r>
    </w:p>
    <w:p w14:paraId="4533AEC9" w14:textId="1005D295"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要求供應商遵守相關法令法規及其他適當資訊安全國際標準要求，並訂定供應商未符合資訊安全要求或服務水準時之罰責標準。</w:t>
      </w:r>
    </w:p>
    <w:p w14:paraId="6C45D514" w14:textId="7FF8904F"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定義信用合作社與供應商之資訊安全權責，規範供應商應實施之資訊安全要求，應包含人員管理、資訊存取與傳輸安全管控機制等，以落實資通系統供應鏈邊際防護。</w:t>
      </w:r>
    </w:p>
    <w:p w14:paraId="6758C876" w14:textId="28AEE2EB"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非經</w:t>
      </w:r>
      <w:r w:rsidR="00623E26">
        <w:rPr>
          <w:rFonts w:eastAsia="標楷體" w:hint="eastAsia"/>
          <w:kern w:val="0"/>
          <w:sz w:val="30"/>
          <w:szCs w:val="30"/>
        </w:rPr>
        <w:t>信用合作社</w:t>
      </w:r>
      <w:r w:rsidRPr="00D52AFC">
        <w:rPr>
          <w:rFonts w:eastAsia="標楷體" w:hint="eastAsia"/>
          <w:kern w:val="0"/>
          <w:sz w:val="30"/>
          <w:szCs w:val="30"/>
        </w:rPr>
        <w:t>書面同意，不得將作業複委託他人。委外契約中應定義委託業務得否複委託、得複委託之範圍與對象，及複委託受託者應具備之資訊安全措施。</w:t>
      </w:r>
    </w:p>
    <w:p w14:paraId="791F1216" w14:textId="3C9461FA"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依據資料之機密等級、資料處理流程與傳輸方式，要求供應商實施資料安全管控。</w:t>
      </w:r>
    </w:p>
    <w:p w14:paraId="237F77C8" w14:textId="19968CC5"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與供應商約定各項服務要求，如：服務品質、水準、效能、供應商資訊安全事件應變與通報程序、資訊安全事件損害賠償責任、系統或程式定期檢測與修復要求、保固服務、異常管理等。</w:t>
      </w:r>
    </w:p>
    <w:p w14:paraId="3FA32CCB" w14:textId="6E5D8D3D"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保留對供應商之稽核權。若供應商發生可能影響受託業務之資通安全事件時，應確保其本身、金融監督管理委員會及中央銀行，或其指定之人能取得供應商辦理受託業務之相關資訊，包括資通安全控管機制及相關系統之查核報告，及實地查核權力。</w:t>
      </w:r>
    </w:p>
    <w:p w14:paraId="16005965" w14:textId="0A86EF74"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訂定資通系統功能需求或資訊建置要求，以及任何可能相關的開發方法、技術或實作，應包含資訊安全要求或控制措施。</w:t>
      </w:r>
    </w:p>
    <w:p w14:paraId="759CFC78" w14:textId="44351C4A"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訂定產品或服務之交付驗收程序和標準。</w:t>
      </w:r>
    </w:p>
    <w:p w14:paraId="448B245D" w14:textId="6A47F266" w:rsidR="008824DA" w:rsidRPr="008111DA"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8111DA">
        <w:rPr>
          <w:rFonts w:eastAsia="標楷體" w:hint="eastAsia"/>
          <w:color w:val="000000"/>
          <w:kern w:val="0"/>
          <w:sz w:val="30"/>
          <w:szCs w:val="30"/>
        </w:rPr>
        <w:lastRenderedPageBreak/>
        <w:t>明確約定供應商</w:t>
      </w:r>
      <w:r w:rsidR="00A13351" w:rsidRPr="008111DA">
        <w:rPr>
          <w:rFonts w:eastAsia="標楷體" w:hint="eastAsia"/>
          <w:color w:val="000000"/>
          <w:kern w:val="0"/>
          <w:sz w:val="30"/>
          <w:szCs w:val="30"/>
        </w:rPr>
        <w:t>應確保</w:t>
      </w:r>
      <w:r w:rsidRPr="008111DA">
        <w:rPr>
          <w:rFonts w:eastAsia="標楷體" w:hint="eastAsia"/>
          <w:color w:val="000000"/>
          <w:kern w:val="0"/>
          <w:sz w:val="30"/>
          <w:szCs w:val="30"/>
        </w:rPr>
        <w:t>交付之產品及其服務組件來源為合法取得或經合法授權使用</w:t>
      </w:r>
      <w:r w:rsidR="00A13351" w:rsidRPr="008111DA">
        <w:rPr>
          <w:rFonts w:eastAsia="標楷體" w:hint="eastAsia"/>
          <w:color w:val="000000"/>
          <w:kern w:val="0"/>
          <w:sz w:val="30"/>
          <w:szCs w:val="30"/>
        </w:rPr>
        <w:t>，且產品或服務提供地、實質受益人或控制權來源國符合國內相關規範要求</w:t>
      </w:r>
      <w:r w:rsidRPr="008111DA">
        <w:rPr>
          <w:rFonts w:eastAsia="標楷體" w:hint="eastAsia"/>
          <w:color w:val="000000"/>
          <w:kern w:val="0"/>
          <w:sz w:val="30"/>
          <w:szCs w:val="30"/>
        </w:rPr>
        <w:t>。</w:t>
      </w:r>
    </w:p>
    <w:p w14:paraId="7E2B005E" w14:textId="4CF585BD"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要求供應商確保交付之資通系統或程式，包含供應商提供之產品及其服務組件，無惡意程式及後門程式，並取得相關安全性測試結果或供應商安全性承諾。</w:t>
      </w:r>
    </w:p>
    <w:p w14:paraId="02187C28" w14:textId="37D62273" w:rsidR="008824DA" w:rsidRPr="00657E2A"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訂定供應商契約終止時，資訊資產與資料返還、移交、刪除或銷毀之要求。</w:t>
      </w:r>
    </w:p>
    <w:p w14:paraId="43A89F09" w14:textId="14D7AD6D" w:rsidR="00657E2A" w:rsidRPr="00D52AFC" w:rsidRDefault="00657E2A" w:rsidP="00657E2A">
      <w:pPr>
        <w:pStyle w:val="a3"/>
        <w:widowControl/>
        <w:spacing w:line="400" w:lineRule="exact"/>
        <w:ind w:leftChars="0" w:left="993"/>
        <w:jc w:val="both"/>
        <w:rPr>
          <w:rFonts w:eastAsia="標楷體"/>
          <w:kern w:val="0"/>
          <w:sz w:val="30"/>
          <w:szCs w:val="30"/>
        </w:rPr>
      </w:pPr>
      <w:r w:rsidRPr="008111DA">
        <w:rPr>
          <w:rFonts w:eastAsia="標楷體" w:hint="eastAsia"/>
          <w:color w:val="000000"/>
          <w:kern w:val="0"/>
          <w:sz w:val="30"/>
          <w:szCs w:val="30"/>
        </w:rPr>
        <w:t>委託契約或相關文件與本規範規定不符者，</w:t>
      </w:r>
      <w:r w:rsidRPr="008111DA">
        <w:rPr>
          <w:rFonts w:eastAsia="標楷體" w:hint="eastAsia"/>
          <w:kern w:val="0"/>
          <w:sz w:val="30"/>
          <w:szCs w:val="30"/>
        </w:rPr>
        <w:t>信用合作社</w:t>
      </w:r>
      <w:r w:rsidRPr="008111DA">
        <w:rPr>
          <w:rFonts w:eastAsia="標楷體" w:hint="eastAsia"/>
          <w:color w:val="000000"/>
          <w:kern w:val="0"/>
          <w:sz w:val="30"/>
          <w:szCs w:val="30"/>
        </w:rPr>
        <w:t>應執行供應鏈資訊安全風險評估，依評估結果擬訂對應之風險處理措施</w:t>
      </w:r>
      <w:r w:rsidR="00A13351" w:rsidRPr="008111DA">
        <w:rPr>
          <w:rFonts w:eastAsia="標楷體" w:hint="eastAsia"/>
          <w:color w:val="000000"/>
          <w:kern w:val="0"/>
          <w:sz w:val="30"/>
          <w:szCs w:val="30"/>
        </w:rPr>
        <w:t>，包含供應商退場或替換機制，</w:t>
      </w:r>
      <w:r w:rsidRPr="008111DA">
        <w:rPr>
          <w:rFonts w:eastAsia="標楷體" w:hint="eastAsia"/>
          <w:color w:val="000000"/>
          <w:kern w:val="0"/>
          <w:sz w:val="30"/>
          <w:szCs w:val="30"/>
        </w:rPr>
        <w:t>或接受</w:t>
      </w:r>
      <w:r w:rsidRPr="007E5D96">
        <w:rPr>
          <w:rFonts w:eastAsia="標楷體" w:hint="eastAsia"/>
          <w:color w:val="000000"/>
          <w:kern w:val="0"/>
          <w:sz w:val="30"/>
          <w:szCs w:val="30"/>
        </w:rPr>
        <w:t>風險並取得適當管理階層核准。</w:t>
      </w:r>
    </w:p>
    <w:p w14:paraId="540F4430" w14:textId="4CEDB934"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color w:val="000000"/>
          <w:kern w:val="0"/>
          <w:sz w:val="30"/>
          <w:szCs w:val="30"/>
        </w:rPr>
        <w:t>於供應商契約存續期間，應注意下列原則：</w:t>
      </w:r>
    </w:p>
    <w:p w14:paraId="16755195" w14:textId="065F2198" w:rsidR="00111D96"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信用合作社與供應商應分別指定專人，負責督導及辦理各項資訊安全要求事項。</w:t>
      </w:r>
    </w:p>
    <w:p w14:paraId="0A987E97" w14:textId="57CD74BB"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與</w:t>
      </w:r>
      <w:r w:rsidRPr="00D52AFC">
        <w:rPr>
          <w:rFonts w:eastAsia="標楷體" w:hint="eastAsia"/>
          <w:kern w:val="0"/>
          <w:sz w:val="30"/>
          <w:szCs w:val="30"/>
        </w:rPr>
        <w:t>供應商</w:t>
      </w:r>
      <w:r w:rsidRPr="00D52AFC">
        <w:rPr>
          <w:rFonts w:eastAsia="標楷體" w:hint="eastAsia"/>
          <w:color w:val="000000"/>
          <w:kern w:val="0"/>
          <w:sz w:val="30"/>
          <w:szCs w:val="30"/>
        </w:rPr>
        <w:t>間如涉個人資料交換，應確認符合我國個人資料保護法相關規定，並確保僅授權者可存取資料及保留資料使用稽核軌跡，以利追蹤資料使用狀況。</w:t>
      </w:r>
    </w:p>
    <w:p w14:paraId="00040AF8" w14:textId="7059CC95"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應識別供應商涉及之關鍵資訊資產，以加強風險管理。</w:t>
      </w:r>
    </w:p>
    <w:p w14:paraId="400A6431" w14:textId="282E7E4E"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為落實資通系統供應鏈邊際防護，應訂定供應商存取權限管理規範，妥善管理供應商之實體與邏輯存取權限。</w:t>
      </w:r>
    </w:p>
    <w:p w14:paraId="1AB03D86" w14:textId="548FEE7F"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定期對具邏輯存取權限之供應商辦理供應鏈資訊安全風險評估，依據供應鏈資訊安全風險評估結果採取適當之資訊安全控管措施或提報適當主管層級核准可接受之風險等級。</w:t>
      </w:r>
    </w:p>
    <w:p w14:paraId="30BD71AD" w14:textId="5ED2F647"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建立對核心資通系統</w:t>
      </w:r>
      <w:r w:rsidRPr="00D52AFC">
        <w:rPr>
          <w:rFonts w:ascii="標楷體" w:eastAsia="標楷體" w:hAnsi="標楷體" w:hint="eastAsia"/>
          <w:kern w:val="0"/>
          <w:sz w:val="30"/>
          <w:szCs w:val="30"/>
        </w:rPr>
        <w:t>、</w:t>
      </w:r>
      <w:r w:rsidRPr="00D52AFC">
        <w:rPr>
          <w:rFonts w:eastAsia="標楷體" w:hint="eastAsia"/>
          <w:kern w:val="0"/>
          <w:sz w:val="30"/>
          <w:szCs w:val="30"/>
        </w:rPr>
        <w:t>第一類電腦系</w:t>
      </w:r>
      <w:r w:rsidRPr="008111DA">
        <w:rPr>
          <w:rFonts w:eastAsia="標楷體" w:hint="eastAsia"/>
          <w:kern w:val="0"/>
          <w:sz w:val="30"/>
          <w:szCs w:val="30"/>
        </w:rPr>
        <w:t>統</w:t>
      </w:r>
      <w:r w:rsidR="00A13351" w:rsidRPr="008111DA">
        <w:rPr>
          <w:rFonts w:eastAsia="標楷體" w:hint="eastAsia"/>
          <w:kern w:val="0"/>
          <w:sz w:val="30"/>
          <w:szCs w:val="30"/>
        </w:rPr>
        <w:t>，</w:t>
      </w:r>
      <w:r w:rsidRPr="00D52AFC">
        <w:rPr>
          <w:rFonts w:eastAsia="標楷體" w:hint="eastAsia"/>
          <w:kern w:val="0"/>
          <w:sz w:val="30"/>
          <w:szCs w:val="30"/>
        </w:rPr>
        <w:t>及於契約存續期間得存取信用合作社機敏資料之第二或三類電腦系統供應商資訊安全稽</w:t>
      </w:r>
      <w:r w:rsidRPr="00D52AFC">
        <w:rPr>
          <w:rFonts w:eastAsia="標楷體" w:hint="eastAsia"/>
          <w:color w:val="000000"/>
          <w:kern w:val="0"/>
          <w:sz w:val="30"/>
          <w:szCs w:val="30"/>
        </w:rPr>
        <w:t>核之程序，包含稽核結果之改善追蹤機制。依據供應鏈資訊安全風險評估結果選擇合適之資訊安全稽核之方式與頻率，包含自行辦理或委託獨立第三方執行資訊安全訪視作業，或由供應商提供公正第三方之驗證報告。</w:t>
      </w:r>
    </w:p>
    <w:p w14:paraId="670F475D" w14:textId="609F3B89"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監督供應商針對其專案執行人員辦理資訊安全教育訓練。</w:t>
      </w:r>
    </w:p>
    <w:p w14:paraId="57BBED4E" w14:textId="77922C4E"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依契約要求審查供應商所交付之系統或程式，包含供應商提供之產品及其服務組件之安全性測試結果或供應商安全性承諾。</w:t>
      </w:r>
    </w:p>
    <w:p w14:paraId="3DBA9862" w14:textId="5CE1D5C6" w:rsidR="008824DA" w:rsidRPr="008111DA"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8111DA">
        <w:rPr>
          <w:rFonts w:eastAsia="標楷體" w:hint="eastAsia"/>
          <w:color w:val="000000"/>
          <w:kern w:val="0"/>
          <w:sz w:val="30"/>
          <w:szCs w:val="30"/>
        </w:rPr>
        <w:lastRenderedPageBreak/>
        <w:t>依據與供應商約定各項服務要求定期審查供應鏈服務之品質</w:t>
      </w:r>
      <w:r w:rsidR="00A13351" w:rsidRPr="008111DA">
        <w:rPr>
          <w:rFonts w:eastAsia="標楷體" w:hint="eastAsia"/>
          <w:color w:val="000000"/>
          <w:kern w:val="0"/>
          <w:sz w:val="30"/>
          <w:szCs w:val="30"/>
        </w:rPr>
        <w:t>及相關規範合規情形。如有違反要求情節重大且不能限期改善者，應執行供應商退場或替換機制</w:t>
      </w:r>
      <w:r w:rsidRPr="008111DA">
        <w:rPr>
          <w:rFonts w:eastAsia="標楷體" w:hint="eastAsia"/>
          <w:color w:val="000000"/>
          <w:kern w:val="0"/>
          <w:sz w:val="30"/>
          <w:szCs w:val="30"/>
        </w:rPr>
        <w:t>。</w:t>
      </w:r>
    </w:p>
    <w:p w14:paraId="2DC77F8C" w14:textId="1CB620FF"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ascii="標楷體" w:eastAsia="標楷體" w:hAnsi="標楷體" w:hint="eastAsia"/>
          <w:color w:val="000000"/>
          <w:kern w:val="0"/>
          <w:sz w:val="30"/>
          <w:szCs w:val="30"/>
        </w:rPr>
        <w:t>供應商服務變更與契約終止時，應符合下列事項：</w:t>
      </w:r>
    </w:p>
    <w:p w14:paraId="5974DD19" w14:textId="5AD32760" w:rsidR="00111D96" w:rsidRPr="00D52AFC" w:rsidRDefault="008824DA" w:rsidP="00D22797">
      <w:pPr>
        <w:pStyle w:val="a3"/>
        <w:widowControl/>
        <w:numPr>
          <w:ilvl w:val="0"/>
          <w:numId w:val="26"/>
        </w:numPr>
        <w:spacing w:line="400" w:lineRule="exact"/>
        <w:ind w:leftChars="0" w:left="1559" w:hanging="567"/>
        <w:jc w:val="both"/>
        <w:rPr>
          <w:rFonts w:eastAsia="標楷體"/>
          <w:kern w:val="0"/>
          <w:sz w:val="30"/>
          <w:szCs w:val="30"/>
        </w:rPr>
      </w:pPr>
      <w:r w:rsidRPr="00D52AFC">
        <w:rPr>
          <w:rFonts w:ascii="標楷體" w:eastAsia="標楷體" w:hAnsi="標楷體" w:hint="eastAsia"/>
          <w:color w:val="000000"/>
          <w:kern w:val="0"/>
          <w:sz w:val="30"/>
          <w:szCs w:val="30"/>
        </w:rPr>
        <w:t>供應商提供之服務變更前（包含契約變更、供應商組織重大調整、業務重大異動或契約提前終止相關事宜），</w:t>
      </w:r>
      <w:r w:rsidRPr="00D52AFC">
        <w:rPr>
          <w:rFonts w:ascii="標楷體" w:eastAsia="標楷體" w:hAnsi="標楷體" w:hint="eastAsia"/>
          <w:kern w:val="0"/>
          <w:sz w:val="30"/>
          <w:szCs w:val="30"/>
        </w:rPr>
        <w:t>信用合作社</w:t>
      </w:r>
      <w:r w:rsidRPr="00D52AFC">
        <w:rPr>
          <w:rFonts w:ascii="標楷體" w:eastAsia="標楷體" w:hAnsi="標楷體" w:hint="eastAsia"/>
          <w:color w:val="000000"/>
          <w:kern w:val="0"/>
          <w:sz w:val="30"/>
          <w:szCs w:val="30"/>
        </w:rPr>
        <w:t>應執行供應鏈資訊安全風險評估，並依評估結果擬訂對應之風險處理措施</w:t>
      </w:r>
      <w:r w:rsidR="00111D96" w:rsidRPr="00D52AFC">
        <w:rPr>
          <w:rFonts w:eastAsia="標楷體" w:hint="eastAsia"/>
          <w:kern w:val="0"/>
          <w:sz w:val="30"/>
          <w:szCs w:val="30"/>
        </w:rPr>
        <w:t>。</w:t>
      </w:r>
    </w:p>
    <w:p w14:paraId="719A6457" w14:textId="1C621947" w:rsidR="008824DA" w:rsidRPr="00D52AFC" w:rsidRDefault="008824DA" w:rsidP="00D22797">
      <w:pPr>
        <w:pStyle w:val="a3"/>
        <w:widowControl/>
        <w:numPr>
          <w:ilvl w:val="0"/>
          <w:numId w:val="26"/>
        </w:numPr>
        <w:spacing w:line="400" w:lineRule="exact"/>
        <w:ind w:leftChars="0" w:left="1559" w:hanging="567"/>
        <w:jc w:val="both"/>
        <w:rPr>
          <w:rFonts w:eastAsia="標楷體"/>
          <w:kern w:val="0"/>
          <w:sz w:val="30"/>
          <w:szCs w:val="30"/>
        </w:rPr>
      </w:pPr>
      <w:r w:rsidRPr="00D52AFC">
        <w:rPr>
          <w:rFonts w:ascii="標楷體" w:eastAsia="標楷體" w:hAnsi="標楷體" w:hint="eastAsia"/>
          <w:color w:val="000000"/>
          <w:kern w:val="0"/>
          <w:sz w:val="30"/>
          <w:szCs w:val="30"/>
        </w:rPr>
        <w:t>供應商契約終止時，</w:t>
      </w:r>
      <w:r w:rsidRPr="00D52AFC">
        <w:rPr>
          <w:rFonts w:ascii="標楷體" w:eastAsia="標楷體" w:hAnsi="標楷體" w:hint="eastAsia"/>
          <w:kern w:val="0"/>
          <w:sz w:val="30"/>
          <w:szCs w:val="30"/>
        </w:rPr>
        <w:t>信用合作社</w:t>
      </w:r>
      <w:r w:rsidRPr="00D52AFC">
        <w:rPr>
          <w:rFonts w:ascii="標楷體" w:eastAsia="標楷體" w:hAnsi="標楷體" w:hint="eastAsia"/>
          <w:color w:val="000000"/>
          <w:kern w:val="0"/>
          <w:sz w:val="30"/>
          <w:szCs w:val="30"/>
        </w:rPr>
        <w:t>應於供應商依約完成產品或服務之移轉、交付驗收程序後，監督其完成資訊資產與資料返還、移交、刪除或銷毀，並移除供應商於服務期間所取得之實體與邏輯存取權限。</w:t>
      </w:r>
    </w:p>
    <w:p w14:paraId="5EDD315A" w14:textId="1EE20637" w:rsidR="00111D96" w:rsidRPr="008824DA" w:rsidRDefault="008824DA" w:rsidP="00341FDD">
      <w:pPr>
        <w:pStyle w:val="a3"/>
        <w:widowControl/>
        <w:numPr>
          <w:ilvl w:val="0"/>
          <w:numId w:val="1"/>
        </w:numPr>
        <w:spacing w:beforeLines="50" w:before="180" w:line="400" w:lineRule="exact"/>
        <w:ind w:leftChars="0"/>
        <w:jc w:val="both"/>
        <w:rPr>
          <w:rFonts w:eastAsia="標楷體"/>
          <w:kern w:val="0"/>
          <w:sz w:val="28"/>
          <w:szCs w:val="28"/>
        </w:rPr>
      </w:pPr>
      <w:r w:rsidRPr="00D52AFC">
        <w:rPr>
          <w:rFonts w:ascii="標楷體" w:eastAsia="標楷體" w:hAnsi="標楷體" w:hint="eastAsia"/>
          <w:color w:val="000000"/>
          <w:kern w:val="0"/>
          <w:sz w:val="30"/>
          <w:szCs w:val="30"/>
        </w:rPr>
        <w:t>本規範經本</w:t>
      </w:r>
      <w:r w:rsidRPr="00D52AFC">
        <w:rPr>
          <w:rFonts w:ascii="標楷體" w:eastAsia="標楷體" w:hAnsi="標楷體" w:hint="eastAsia"/>
          <w:kern w:val="0"/>
          <w:sz w:val="30"/>
          <w:szCs w:val="30"/>
        </w:rPr>
        <w:t>聯社</w:t>
      </w:r>
      <w:r w:rsidRPr="00D52AFC">
        <w:rPr>
          <w:rFonts w:ascii="標楷體" w:eastAsia="標楷體" w:hAnsi="標楷體" w:hint="eastAsia"/>
          <w:color w:val="000000"/>
          <w:kern w:val="0"/>
          <w:sz w:val="30"/>
          <w:szCs w:val="30"/>
        </w:rPr>
        <w:t>理事會通過並函報金融監督管理委員會核備後</w:t>
      </w:r>
      <w:r w:rsidRPr="007E5D96">
        <w:rPr>
          <w:rFonts w:ascii="標楷體" w:eastAsia="標楷體" w:hAnsi="標楷體" w:hint="eastAsia"/>
          <w:color w:val="000000"/>
          <w:kern w:val="0"/>
          <w:sz w:val="30"/>
          <w:szCs w:val="30"/>
        </w:rPr>
        <w:t>實施，修正時亦同。</w:t>
      </w:r>
    </w:p>
    <w:sectPr w:rsidR="00111D96" w:rsidRPr="008824DA" w:rsidSect="00F34705">
      <w:footerReference w:type="default" r:id="rId8"/>
      <w:pgSz w:w="11906" w:h="16838"/>
      <w:pgMar w:top="1560" w:right="1274" w:bottom="1440" w:left="1276" w:header="851" w:footer="675"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9183" w14:textId="77777777" w:rsidR="00651228" w:rsidRDefault="00651228" w:rsidP="001C4B48">
      <w:r>
        <w:separator/>
      </w:r>
    </w:p>
  </w:endnote>
  <w:endnote w:type="continuationSeparator" w:id="0">
    <w:p w14:paraId="287035F7" w14:textId="77777777" w:rsidR="00651228" w:rsidRDefault="00651228" w:rsidP="001C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07D2" w14:textId="3B2BA83B" w:rsidR="00E53A39" w:rsidRDefault="00E53A39" w:rsidP="008B6C5B">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9315" w14:textId="77777777" w:rsidR="00651228" w:rsidRDefault="00651228" w:rsidP="001C4B48">
      <w:r>
        <w:separator/>
      </w:r>
    </w:p>
  </w:footnote>
  <w:footnote w:type="continuationSeparator" w:id="0">
    <w:p w14:paraId="5C04F62A" w14:textId="77777777" w:rsidR="00651228" w:rsidRDefault="00651228" w:rsidP="001C4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41"/>
    <w:multiLevelType w:val="hybridMultilevel"/>
    <w:tmpl w:val="6E66A9FC"/>
    <w:lvl w:ilvl="0" w:tplc="9D7C3714">
      <w:start w:val="1"/>
      <w:numFmt w:val="taiwaneseCountingThousand"/>
      <w:suff w:val="nothing"/>
      <w:lvlText w:val="(%1)"/>
      <w:lvlJc w:val="left"/>
      <w:pPr>
        <w:ind w:left="645" w:hanging="645"/>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A31B0A"/>
    <w:multiLevelType w:val="hybridMultilevel"/>
    <w:tmpl w:val="2E70D64A"/>
    <w:lvl w:ilvl="0" w:tplc="F572A85A">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0CB0697C"/>
    <w:multiLevelType w:val="hybridMultilevel"/>
    <w:tmpl w:val="BC70CC14"/>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3" w15:restartNumberingAfterBreak="0">
    <w:nsid w:val="15A52055"/>
    <w:multiLevelType w:val="hybridMultilevel"/>
    <w:tmpl w:val="D89C77B8"/>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4" w15:restartNumberingAfterBreak="0">
    <w:nsid w:val="19201490"/>
    <w:multiLevelType w:val="hybridMultilevel"/>
    <w:tmpl w:val="A39869A0"/>
    <w:lvl w:ilvl="0" w:tplc="3DFC5664">
      <w:start w:val="1"/>
      <w:numFmt w:val="taiwaneseCountingThousand"/>
      <w:lvlText w:val="(%1)"/>
      <w:lvlJc w:val="left"/>
      <w:pPr>
        <w:ind w:left="1980" w:hanging="720"/>
      </w:pPr>
      <w:rPr>
        <w:rFonts w:hint="default"/>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5" w15:restartNumberingAfterBreak="0">
    <w:nsid w:val="1B344DAE"/>
    <w:multiLevelType w:val="hybridMultilevel"/>
    <w:tmpl w:val="6372A34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6" w15:restartNumberingAfterBreak="0">
    <w:nsid w:val="1E15470F"/>
    <w:multiLevelType w:val="hybridMultilevel"/>
    <w:tmpl w:val="43826568"/>
    <w:lvl w:ilvl="0" w:tplc="41DE2F4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1EAF5357"/>
    <w:multiLevelType w:val="hybridMultilevel"/>
    <w:tmpl w:val="EDF8C6F6"/>
    <w:lvl w:ilvl="0" w:tplc="033096F0">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8" w15:restartNumberingAfterBreak="0">
    <w:nsid w:val="36E06350"/>
    <w:multiLevelType w:val="hybridMultilevel"/>
    <w:tmpl w:val="03AC200E"/>
    <w:lvl w:ilvl="0" w:tplc="8A30D380">
      <w:start w:val="1"/>
      <w:numFmt w:val="taiwaneseCountingThousand"/>
      <w:suff w:val="nothing"/>
      <w:lvlText w:val="%1、"/>
      <w:lvlJc w:val="left"/>
      <w:pPr>
        <w:ind w:left="720" w:hanging="720"/>
      </w:pPr>
      <w:rPr>
        <w:rFonts w:hint="default"/>
      </w:rPr>
    </w:lvl>
    <w:lvl w:ilvl="1" w:tplc="107267DC">
      <w:start w:val="1"/>
      <w:numFmt w:val="taiwaneseCountingThousand"/>
      <w:suff w:val="nothing"/>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9" w15:restartNumberingAfterBreak="0">
    <w:nsid w:val="388A38CE"/>
    <w:multiLevelType w:val="hybridMultilevel"/>
    <w:tmpl w:val="0F92B7B8"/>
    <w:lvl w:ilvl="0" w:tplc="04090019">
      <w:start w:val="1"/>
      <w:numFmt w:val="ideographTraditional"/>
      <w:lvlText w:val="%1、"/>
      <w:lvlJc w:val="left"/>
      <w:pPr>
        <w:ind w:left="1728" w:hanging="480"/>
      </w:pPr>
    </w:lvl>
    <w:lvl w:ilvl="1" w:tplc="04090019" w:tentative="1">
      <w:start w:val="1"/>
      <w:numFmt w:val="ideographTraditional"/>
      <w:lvlText w:val="%2、"/>
      <w:lvlJc w:val="left"/>
      <w:pPr>
        <w:ind w:left="2208" w:hanging="480"/>
      </w:pPr>
    </w:lvl>
    <w:lvl w:ilvl="2" w:tplc="0409001B" w:tentative="1">
      <w:start w:val="1"/>
      <w:numFmt w:val="lowerRoman"/>
      <w:lvlText w:val="%3."/>
      <w:lvlJc w:val="right"/>
      <w:pPr>
        <w:ind w:left="2688" w:hanging="480"/>
      </w:pPr>
    </w:lvl>
    <w:lvl w:ilvl="3" w:tplc="0409000F" w:tentative="1">
      <w:start w:val="1"/>
      <w:numFmt w:val="decimal"/>
      <w:lvlText w:val="%4."/>
      <w:lvlJc w:val="left"/>
      <w:pPr>
        <w:ind w:left="3168" w:hanging="480"/>
      </w:pPr>
    </w:lvl>
    <w:lvl w:ilvl="4" w:tplc="04090019" w:tentative="1">
      <w:start w:val="1"/>
      <w:numFmt w:val="ideographTraditional"/>
      <w:lvlText w:val="%5、"/>
      <w:lvlJc w:val="left"/>
      <w:pPr>
        <w:ind w:left="3648" w:hanging="480"/>
      </w:pPr>
    </w:lvl>
    <w:lvl w:ilvl="5" w:tplc="0409001B" w:tentative="1">
      <w:start w:val="1"/>
      <w:numFmt w:val="lowerRoman"/>
      <w:lvlText w:val="%6."/>
      <w:lvlJc w:val="right"/>
      <w:pPr>
        <w:ind w:left="4128" w:hanging="480"/>
      </w:pPr>
    </w:lvl>
    <w:lvl w:ilvl="6" w:tplc="0409000F" w:tentative="1">
      <w:start w:val="1"/>
      <w:numFmt w:val="decimal"/>
      <w:lvlText w:val="%7."/>
      <w:lvlJc w:val="left"/>
      <w:pPr>
        <w:ind w:left="4608" w:hanging="480"/>
      </w:pPr>
    </w:lvl>
    <w:lvl w:ilvl="7" w:tplc="04090019" w:tentative="1">
      <w:start w:val="1"/>
      <w:numFmt w:val="ideographTraditional"/>
      <w:lvlText w:val="%8、"/>
      <w:lvlJc w:val="left"/>
      <w:pPr>
        <w:ind w:left="5088" w:hanging="480"/>
      </w:pPr>
    </w:lvl>
    <w:lvl w:ilvl="8" w:tplc="0409001B" w:tentative="1">
      <w:start w:val="1"/>
      <w:numFmt w:val="lowerRoman"/>
      <w:lvlText w:val="%9."/>
      <w:lvlJc w:val="right"/>
      <w:pPr>
        <w:ind w:left="5568" w:hanging="480"/>
      </w:pPr>
    </w:lvl>
  </w:abstractNum>
  <w:abstractNum w:abstractNumId="10" w15:restartNumberingAfterBreak="0">
    <w:nsid w:val="3E0D4AE8"/>
    <w:multiLevelType w:val="hybridMultilevel"/>
    <w:tmpl w:val="B06CD282"/>
    <w:lvl w:ilvl="0" w:tplc="D8BADAE2">
      <w:start w:val="1"/>
      <w:numFmt w:val="taiwaneseCountingThousand"/>
      <w:suff w:val="nothing"/>
      <w:lvlText w:val="%1、"/>
      <w:lvlJc w:val="left"/>
      <w:pPr>
        <w:ind w:left="720" w:hanging="720"/>
      </w:pPr>
      <w:rPr>
        <w:rFonts w:hint="default"/>
        <w:strike w:val="0"/>
        <w:color w:val="000000"/>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1" w15:restartNumberingAfterBreak="0">
    <w:nsid w:val="40AC4C29"/>
    <w:multiLevelType w:val="hybridMultilevel"/>
    <w:tmpl w:val="0E6E1582"/>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2" w15:restartNumberingAfterBreak="0">
    <w:nsid w:val="459F1DB8"/>
    <w:multiLevelType w:val="hybridMultilevel"/>
    <w:tmpl w:val="18F86C4E"/>
    <w:lvl w:ilvl="0" w:tplc="159681F6">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46A02C02"/>
    <w:multiLevelType w:val="hybridMultilevel"/>
    <w:tmpl w:val="6C264F16"/>
    <w:lvl w:ilvl="0" w:tplc="5B646F12">
      <w:start w:val="1"/>
      <w:numFmt w:val="taiwaneseCountingThousand"/>
      <w:lvlText w:val="第%1條"/>
      <w:lvlJc w:val="left"/>
      <w:pPr>
        <w:ind w:left="975" w:hanging="975"/>
      </w:pPr>
      <w:rPr>
        <w:rFonts w:hint="default"/>
        <w:sz w:val="30"/>
        <w:szCs w:val="30"/>
      </w:rPr>
    </w:lvl>
    <w:lvl w:ilvl="1" w:tplc="C5946636">
      <w:start w:val="1"/>
      <w:numFmt w:val="taiwaneseCountingThousand"/>
      <w:lvlText w:val="（%2）"/>
      <w:lvlJc w:val="left"/>
      <w:pPr>
        <w:ind w:left="1320" w:hanging="84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6C36EC"/>
    <w:multiLevelType w:val="hybridMultilevel"/>
    <w:tmpl w:val="D7F44032"/>
    <w:lvl w:ilvl="0" w:tplc="3E4A05F8">
      <w:start w:val="1"/>
      <w:numFmt w:val="taiwaneseCountingThousand"/>
      <w:suff w:val="nothing"/>
      <w:lvlText w:val="%1、"/>
      <w:lvlJc w:val="left"/>
      <w:pPr>
        <w:ind w:left="720" w:hanging="720"/>
      </w:pPr>
      <w:rPr>
        <w:rFonts w:hint="default"/>
        <w:u w:val="none"/>
      </w:rPr>
    </w:lvl>
    <w:lvl w:ilvl="1" w:tplc="3C3E90C0">
      <w:start w:val="1"/>
      <w:numFmt w:val="taiwaneseCountingThousand"/>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4A6B3B9F"/>
    <w:multiLevelType w:val="hybridMultilevel"/>
    <w:tmpl w:val="6C22BF98"/>
    <w:lvl w:ilvl="0" w:tplc="033096F0">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6" w15:restartNumberingAfterBreak="0">
    <w:nsid w:val="530367F9"/>
    <w:multiLevelType w:val="hybridMultilevel"/>
    <w:tmpl w:val="CC28C9A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7" w15:restartNumberingAfterBreak="0">
    <w:nsid w:val="5C7D7CA2"/>
    <w:multiLevelType w:val="hybridMultilevel"/>
    <w:tmpl w:val="108E5E52"/>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8" w15:restartNumberingAfterBreak="0">
    <w:nsid w:val="5D8B5E88"/>
    <w:multiLevelType w:val="hybridMultilevel"/>
    <w:tmpl w:val="7ECA9928"/>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9" w15:restartNumberingAfterBreak="0">
    <w:nsid w:val="628B3954"/>
    <w:multiLevelType w:val="hybridMultilevel"/>
    <w:tmpl w:val="8F82DA08"/>
    <w:lvl w:ilvl="0" w:tplc="EFC4BF04">
      <w:start w:val="1"/>
      <w:numFmt w:val="taiwaneseCountingThousand"/>
      <w:suff w:val="nothing"/>
      <w:lvlText w:val="(%1)"/>
      <w:lvlJc w:val="left"/>
      <w:pPr>
        <w:ind w:left="645" w:hanging="645"/>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006FC3"/>
    <w:multiLevelType w:val="hybridMultilevel"/>
    <w:tmpl w:val="AECE9606"/>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1" w15:restartNumberingAfterBreak="0">
    <w:nsid w:val="66A63DB0"/>
    <w:multiLevelType w:val="hybridMultilevel"/>
    <w:tmpl w:val="B5ECCD3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15:restartNumberingAfterBreak="0">
    <w:nsid w:val="688C0D14"/>
    <w:multiLevelType w:val="hybridMultilevel"/>
    <w:tmpl w:val="AFFA96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9B62ED0"/>
    <w:multiLevelType w:val="hybridMultilevel"/>
    <w:tmpl w:val="7070129A"/>
    <w:lvl w:ilvl="0" w:tplc="3BFA62E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4" w15:restartNumberingAfterBreak="0">
    <w:nsid w:val="6DD41A6A"/>
    <w:multiLevelType w:val="hybridMultilevel"/>
    <w:tmpl w:val="7B4A4B56"/>
    <w:lvl w:ilvl="0" w:tplc="A544CD3E">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5" w15:restartNumberingAfterBreak="0">
    <w:nsid w:val="707F039F"/>
    <w:multiLevelType w:val="hybridMultilevel"/>
    <w:tmpl w:val="227C493C"/>
    <w:lvl w:ilvl="0" w:tplc="D6E0F5FE">
      <w:start w:val="1"/>
      <w:numFmt w:val="taiwaneseCountingThousand"/>
      <w:lvlText w:val="(%1)"/>
      <w:lvlJc w:val="left"/>
      <w:pPr>
        <w:ind w:left="2040" w:hanging="480"/>
      </w:pPr>
      <w:rPr>
        <w:rFonts w:hint="default"/>
        <w:sz w:val="30"/>
        <w:szCs w:val="30"/>
      </w:rPr>
    </w:lvl>
    <w:lvl w:ilvl="1" w:tplc="9ED01126">
      <w:start w:val="1"/>
      <w:numFmt w:val="taiwaneseCountingThousand"/>
      <w:suff w:val="nothing"/>
      <w:lvlText w:val="(%2)"/>
      <w:lvlJc w:val="left"/>
      <w:pPr>
        <w:ind w:left="2520" w:hanging="480"/>
      </w:pPr>
      <w:rPr>
        <w:rFonts w:ascii="標楷體" w:eastAsia="標楷體" w:hAnsi="標楷體" w:hint="default"/>
        <w:sz w:val="30"/>
        <w:szCs w:val="30"/>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6" w15:restartNumberingAfterBreak="0">
    <w:nsid w:val="75A758B0"/>
    <w:multiLevelType w:val="hybridMultilevel"/>
    <w:tmpl w:val="BA4A43BA"/>
    <w:lvl w:ilvl="0" w:tplc="8A30D380">
      <w:start w:val="1"/>
      <w:numFmt w:val="taiwaneseCountingThousand"/>
      <w:suff w:val="nothing"/>
      <w:lvlText w:val="%1、"/>
      <w:lvlJc w:val="left"/>
      <w:pPr>
        <w:ind w:left="720" w:hanging="720"/>
      </w:pPr>
      <w:rPr>
        <w:rFonts w:hint="default"/>
      </w:rPr>
    </w:lvl>
    <w:lvl w:ilvl="1" w:tplc="3C3E90C0">
      <w:start w:val="1"/>
      <w:numFmt w:val="taiwaneseCountingThousand"/>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7" w15:restartNumberingAfterBreak="0">
    <w:nsid w:val="7B5F3AFE"/>
    <w:multiLevelType w:val="hybridMultilevel"/>
    <w:tmpl w:val="27E03436"/>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num w:numId="1" w16cid:durableId="1576475537">
    <w:abstractNumId w:val="13"/>
  </w:num>
  <w:num w:numId="2" w16cid:durableId="217325836">
    <w:abstractNumId w:val="10"/>
  </w:num>
  <w:num w:numId="3" w16cid:durableId="1978337561">
    <w:abstractNumId w:val="23"/>
  </w:num>
  <w:num w:numId="4" w16cid:durableId="1368405507">
    <w:abstractNumId w:val="4"/>
  </w:num>
  <w:num w:numId="5" w16cid:durableId="664472933">
    <w:abstractNumId w:val="3"/>
  </w:num>
  <w:num w:numId="6" w16cid:durableId="1015226291">
    <w:abstractNumId w:val="21"/>
  </w:num>
  <w:num w:numId="7" w16cid:durableId="1393576504">
    <w:abstractNumId w:val="5"/>
  </w:num>
  <w:num w:numId="8" w16cid:durableId="1063799666">
    <w:abstractNumId w:val="17"/>
  </w:num>
  <w:num w:numId="9" w16cid:durableId="1796561255">
    <w:abstractNumId w:val="18"/>
  </w:num>
  <w:num w:numId="10" w16cid:durableId="1652515768">
    <w:abstractNumId w:val="16"/>
  </w:num>
  <w:num w:numId="11" w16cid:durableId="1869682050">
    <w:abstractNumId w:val="2"/>
  </w:num>
  <w:num w:numId="12" w16cid:durableId="243491145">
    <w:abstractNumId w:val="11"/>
  </w:num>
  <w:num w:numId="13" w16cid:durableId="1908149545">
    <w:abstractNumId w:val="20"/>
  </w:num>
  <w:num w:numId="14" w16cid:durableId="45641401">
    <w:abstractNumId w:val="27"/>
  </w:num>
  <w:num w:numId="15" w16cid:durableId="1869442893">
    <w:abstractNumId w:val="22"/>
  </w:num>
  <w:num w:numId="16" w16cid:durableId="1873374677">
    <w:abstractNumId w:val="14"/>
  </w:num>
  <w:num w:numId="17" w16cid:durableId="1855267650">
    <w:abstractNumId w:val="25"/>
  </w:num>
  <w:num w:numId="18" w16cid:durableId="1109352892">
    <w:abstractNumId w:val="9"/>
  </w:num>
  <w:num w:numId="19" w16cid:durableId="1005404540">
    <w:abstractNumId w:val="19"/>
  </w:num>
  <w:num w:numId="20" w16cid:durableId="1575817664">
    <w:abstractNumId w:val="6"/>
  </w:num>
  <w:num w:numId="21" w16cid:durableId="844898121">
    <w:abstractNumId w:val="26"/>
  </w:num>
  <w:num w:numId="22" w16cid:durableId="673335772">
    <w:abstractNumId w:val="0"/>
  </w:num>
  <w:num w:numId="23" w16cid:durableId="1381632366">
    <w:abstractNumId w:val="15"/>
  </w:num>
  <w:num w:numId="24" w16cid:durableId="322507669">
    <w:abstractNumId w:val="24"/>
  </w:num>
  <w:num w:numId="25" w16cid:durableId="896861085">
    <w:abstractNumId w:val="7"/>
  </w:num>
  <w:num w:numId="26" w16cid:durableId="1927106972">
    <w:abstractNumId w:val="12"/>
  </w:num>
  <w:num w:numId="27" w16cid:durableId="1309048151">
    <w:abstractNumId w:val="1"/>
  </w:num>
  <w:num w:numId="28" w16cid:durableId="1921283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D96"/>
    <w:rsid w:val="000C2482"/>
    <w:rsid w:val="00101E04"/>
    <w:rsid w:val="00107BCF"/>
    <w:rsid w:val="00111D96"/>
    <w:rsid w:val="001401CA"/>
    <w:rsid w:val="001532C2"/>
    <w:rsid w:val="00193205"/>
    <w:rsid w:val="001C4B48"/>
    <w:rsid w:val="00216DFE"/>
    <w:rsid w:val="0023488A"/>
    <w:rsid w:val="00274766"/>
    <w:rsid w:val="00297AE2"/>
    <w:rsid w:val="002F000C"/>
    <w:rsid w:val="00341FDD"/>
    <w:rsid w:val="003C0C4D"/>
    <w:rsid w:val="003D61FF"/>
    <w:rsid w:val="003F138E"/>
    <w:rsid w:val="00427DC7"/>
    <w:rsid w:val="004436D7"/>
    <w:rsid w:val="004509F1"/>
    <w:rsid w:val="004B494A"/>
    <w:rsid w:val="004B642E"/>
    <w:rsid w:val="004B7FFB"/>
    <w:rsid w:val="004D60CA"/>
    <w:rsid w:val="004F631F"/>
    <w:rsid w:val="00506BB3"/>
    <w:rsid w:val="00512B21"/>
    <w:rsid w:val="00515F55"/>
    <w:rsid w:val="0053303F"/>
    <w:rsid w:val="0057487A"/>
    <w:rsid w:val="005E6A9A"/>
    <w:rsid w:val="005F2CC3"/>
    <w:rsid w:val="005F76CC"/>
    <w:rsid w:val="00607811"/>
    <w:rsid w:val="00623E26"/>
    <w:rsid w:val="00642A61"/>
    <w:rsid w:val="00651228"/>
    <w:rsid w:val="00651C56"/>
    <w:rsid w:val="00657E2A"/>
    <w:rsid w:val="00675184"/>
    <w:rsid w:val="006E1D40"/>
    <w:rsid w:val="006E6CD9"/>
    <w:rsid w:val="0070538A"/>
    <w:rsid w:val="00705718"/>
    <w:rsid w:val="007162B1"/>
    <w:rsid w:val="00775AA4"/>
    <w:rsid w:val="00783F81"/>
    <w:rsid w:val="007C3A0D"/>
    <w:rsid w:val="007F1693"/>
    <w:rsid w:val="008111DA"/>
    <w:rsid w:val="00853200"/>
    <w:rsid w:val="00870600"/>
    <w:rsid w:val="008824DA"/>
    <w:rsid w:val="008A3A2B"/>
    <w:rsid w:val="008A54B8"/>
    <w:rsid w:val="008B6C5B"/>
    <w:rsid w:val="008F6AE5"/>
    <w:rsid w:val="00900A23"/>
    <w:rsid w:val="00956505"/>
    <w:rsid w:val="0096143B"/>
    <w:rsid w:val="00973105"/>
    <w:rsid w:val="009951B9"/>
    <w:rsid w:val="009B7494"/>
    <w:rsid w:val="009E25B8"/>
    <w:rsid w:val="00A13351"/>
    <w:rsid w:val="00A174BE"/>
    <w:rsid w:val="00A178C4"/>
    <w:rsid w:val="00A42F8D"/>
    <w:rsid w:val="00AE12DD"/>
    <w:rsid w:val="00B24EF7"/>
    <w:rsid w:val="00BD7E9F"/>
    <w:rsid w:val="00BE0E46"/>
    <w:rsid w:val="00BF03EC"/>
    <w:rsid w:val="00BF226D"/>
    <w:rsid w:val="00C02355"/>
    <w:rsid w:val="00C13887"/>
    <w:rsid w:val="00C82EA1"/>
    <w:rsid w:val="00C95D2D"/>
    <w:rsid w:val="00CC0C15"/>
    <w:rsid w:val="00CE6385"/>
    <w:rsid w:val="00D20455"/>
    <w:rsid w:val="00D22797"/>
    <w:rsid w:val="00D37A0F"/>
    <w:rsid w:val="00D42BDA"/>
    <w:rsid w:val="00D43B25"/>
    <w:rsid w:val="00D52AFC"/>
    <w:rsid w:val="00D577A0"/>
    <w:rsid w:val="00D667D8"/>
    <w:rsid w:val="00DC10D4"/>
    <w:rsid w:val="00DD438F"/>
    <w:rsid w:val="00E02EDD"/>
    <w:rsid w:val="00E02F82"/>
    <w:rsid w:val="00E11645"/>
    <w:rsid w:val="00E53A39"/>
    <w:rsid w:val="00EA6EED"/>
    <w:rsid w:val="00F26439"/>
    <w:rsid w:val="00F34705"/>
    <w:rsid w:val="00F75E67"/>
    <w:rsid w:val="00F823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47B7"/>
  <w15:chartTrackingRefBased/>
  <w15:docId w15:val="{0A0BB6B0-EB2C-4ADA-913F-195456C4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11D96"/>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111D96"/>
    <w:pPr>
      <w:ind w:leftChars="200" w:left="480"/>
    </w:pPr>
  </w:style>
  <w:style w:type="paragraph" w:styleId="a4">
    <w:name w:val="Closing"/>
    <w:basedOn w:val="a"/>
    <w:next w:val="a"/>
    <w:link w:val="a5"/>
    <w:rsid w:val="00111D96"/>
    <w:pPr>
      <w:ind w:left="4320"/>
    </w:pPr>
    <w:rPr>
      <w:rFonts w:ascii="標楷體" w:eastAsia="標楷體"/>
    </w:rPr>
  </w:style>
  <w:style w:type="character" w:customStyle="1" w:styleId="a5">
    <w:name w:val="結語 字元"/>
    <w:basedOn w:val="a0"/>
    <w:link w:val="a4"/>
    <w:rsid w:val="00111D96"/>
    <w:rPr>
      <w:rFonts w:ascii="標楷體" w:eastAsia="標楷體"/>
    </w:rPr>
  </w:style>
  <w:style w:type="paragraph" w:styleId="a6">
    <w:name w:val="header"/>
    <w:basedOn w:val="a"/>
    <w:link w:val="a7"/>
    <w:uiPriority w:val="99"/>
    <w:unhideWhenUsed/>
    <w:rsid w:val="001C4B48"/>
    <w:pPr>
      <w:tabs>
        <w:tab w:val="center" w:pos="4153"/>
        <w:tab w:val="right" w:pos="8306"/>
      </w:tabs>
      <w:snapToGrid w:val="0"/>
    </w:pPr>
    <w:rPr>
      <w:sz w:val="20"/>
      <w:szCs w:val="20"/>
    </w:rPr>
  </w:style>
  <w:style w:type="character" w:customStyle="1" w:styleId="a7">
    <w:name w:val="頁首 字元"/>
    <w:basedOn w:val="a0"/>
    <w:link w:val="a6"/>
    <w:uiPriority w:val="99"/>
    <w:rsid w:val="001C4B48"/>
    <w:rPr>
      <w:sz w:val="20"/>
      <w:szCs w:val="20"/>
    </w:rPr>
  </w:style>
  <w:style w:type="paragraph" w:styleId="a8">
    <w:name w:val="footer"/>
    <w:basedOn w:val="a"/>
    <w:link w:val="a9"/>
    <w:uiPriority w:val="99"/>
    <w:unhideWhenUsed/>
    <w:rsid w:val="001C4B48"/>
    <w:pPr>
      <w:tabs>
        <w:tab w:val="center" w:pos="4153"/>
        <w:tab w:val="right" w:pos="8306"/>
      </w:tabs>
      <w:snapToGrid w:val="0"/>
    </w:pPr>
    <w:rPr>
      <w:sz w:val="20"/>
      <w:szCs w:val="20"/>
    </w:rPr>
  </w:style>
  <w:style w:type="character" w:customStyle="1" w:styleId="a9">
    <w:name w:val="頁尾 字元"/>
    <w:basedOn w:val="a0"/>
    <w:link w:val="a8"/>
    <w:uiPriority w:val="99"/>
    <w:rsid w:val="001C4B48"/>
    <w:rPr>
      <w:sz w:val="20"/>
      <w:szCs w:val="20"/>
    </w:rPr>
  </w:style>
  <w:style w:type="paragraph" w:styleId="aa">
    <w:name w:val="Balloon Text"/>
    <w:basedOn w:val="a"/>
    <w:link w:val="ab"/>
    <w:uiPriority w:val="99"/>
    <w:semiHidden/>
    <w:unhideWhenUsed/>
    <w:rsid w:val="00D667D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667D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75E0B-E476-4F7E-9FD0-9A4FAB3C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485</Words>
  <Characters>2767</Characters>
  <Application>Microsoft Office Word</Application>
  <DocSecurity>0</DocSecurity>
  <Lines>23</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1025</dc:creator>
  <cp:keywords/>
  <dc:description/>
  <cp:lastModifiedBy>tina</cp:lastModifiedBy>
  <cp:revision>4</cp:revision>
  <cp:lastPrinted>2025-12-05T08:17:00Z</cp:lastPrinted>
  <dcterms:created xsi:type="dcterms:W3CDTF">2026-01-29T02:18:00Z</dcterms:created>
  <dcterms:modified xsi:type="dcterms:W3CDTF">2026-01-29T08:03:00Z</dcterms:modified>
  <cp:contentStatus/>
</cp:coreProperties>
</file>