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252" w:rsidRDefault="003D0252" w:rsidP="003D0252">
      <w:pPr>
        <w:spacing w:line="440" w:lineRule="exact"/>
        <w:rPr>
          <w:rFonts w:ascii="標楷體" w:hAnsi="標楷體"/>
          <w:sz w:val="28"/>
          <w:szCs w:val="28"/>
        </w:rPr>
      </w:pPr>
      <w:r>
        <w:rPr>
          <w:rFonts w:ascii="標楷體" w:hAnsi="標楷體" w:hint="eastAsia"/>
          <w:sz w:val="28"/>
          <w:szCs w:val="28"/>
        </w:rPr>
        <w:t>附件</w:t>
      </w:r>
    </w:p>
    <w:p w:rsidR="003D0252" w:rsidRDefault="003D0252" w:rsidP="003D0252">
      <w:pPr>
        <w:jc w:val="center"/>
        <w:rPr>
          <w:rFonts w:ascii="標楷體" w:hAnsi="標楷體"/>
          <w:sz w:val="32"/>
          <w:szCs w:val="32"/>
        </w:rPr>
      </w:pPr>
      <w:r w:rsidRPr="00132ADF">
        <w:rPr>
          <w:rFonts w:ascii="標楷體" w:hAnsi="標楷體" w:hint="eastAsia"/>
          <w:sz w:val="32"/>
          <w:szCs w:val="32"/>
        </w:rPr>
        <w:t>「信用合作社會計作業規範範本」修正</w:t>
      </w:r>
      <w:r w:rsidR="00132ADF" w:rsidRPr="00132ADF">
        <w:rPr>
          <w:rFonts w:ascii="標楷體" w:hAnsi="標楷體" w:hint="eastAsia"/>
          <w:sz w:val="32"/>
          <w:szCs w:val="32"/>
        </w:rPr>
        <w:t>對照表</w:t>
      </w:r>
    </w:p>
    <w:p w:rsidR="00132ADF" w:rsidRPr="00132ADF" w:rsidRDefault="00132ADF" w:rsidP="00132ADF">
      <w:pPr>
        <w:jc w:val="right"/>
        <w:rPr>
          <w:rFonts w:ascii="標楷體" w:hAnsi="標楷體"/>
          <w:sz w:val="24"/>
          <w:szCs w:val="24"/>
        </w:rPr>
      </w:pPr>
      <w:r w:rsidRPr="00132ADF">
        <w:rPr>
          <w:rFonts w:ascii="標楷體" w:hAnsi="標楷體" w:hint="eastAsia"/>
          <w:sz w:val="24"/>
          <w:szCs w:val="24"/>
        </w:rPr>
        <w:t>金管會</w:t>
      </w:r>
      <w:r>
        <w:rPr>
          <w:rFonts w:ascii="標楷體" w:hAnsi="標楷體" w:hint="eastAsia"/>
          <w:sz w:val="24"/>
          <w:szCs w:val="24"/>
        </w:rPr>
        <w:t>108.2.26.金</w:t>
      </w:r>
      <w:proofErr w:type="gramStart"/>
      <w:r>
        <w:rPr>
          <w:rFonts w:ascii="標楷體" w:hAnsi="標楷體" w:hint="eastAsia"/>
          <w:sz w:val="24"/>
          <w:szCs w:val="24"/>
        </w:rPr>
        <w:t>管銀合字第10801008840號函洽悉</w:t>
      </w:r>
      <w:proofErr w:type="gramEnd"/>
    </w:p>
    <w:p w:rsidR="003D0252" w:rsidRPr="00837557" w:rsidRDefault="003D0252" w:rsidP="003D0252">
      <w:pPr>
        <w:rPr>
          <w:rFonts w:ascii="標楷體" w:hAnsi="標楷體"/>
          <w:sz w:val="28"/>
          <w:szCs w:val="28"/>
        </w:rPr>
      </w:pPr>
      <w:r>
        <w:rPr>
          <w:rFonts w:ascii="標楷體" w:hAnsi="標楷體" w:hint="eastAsia"/>
          <w:sz w:val="28"/>
          <w:szCs w:val="28"/>
        </w:rPr>
        <w:t>一、修正</w:t>
      </w:r>
      <w:r w:rsidRPr="00933E83">
        <w:rPr>
          <w:rFonts w:ascii="標楷體" w:hAnsi="標楷體" w:hint="eastAsia"/>
          <w:sz w:val="28"/>
          <w:szCs w:val="28"/>
        </w:rPr>
        <w:t>「銀行同業存款」會計項目</w:t>
      </w:r>
      <w:r>
        <w:rPr>
          <w:rFonts w:ascii="標楷體" w:hAnsi="標楷體" w:hint="eastAsia"/>
          <w:sz w:val="28"/>
          <w:szCs w:val="28"/>
        </w:rPr>
        <w:t>說明暨對照表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1984"/>
        <w:gridCol w:w="3261"/>
        <w:gridCol w:w="2409"/>
      </w:tblGrid>
      <w:tr w:rsidR="003D0252" w:rsidRPr="00837557" w:rsidTr="00424B69">
        <w:trPr>
          <w:trHeight w:val="553"/>
        </w:trPr>
        <w:tc>
          <w:tcPr>
            <w:tcW w:w="959" w:type="dxa"/>
          </w:tcPr>
          <w:p w:rsidR="003D0252" w:rsidRPr="00514F80" w:rsidRDefault="009C656A" w:rsidP="00CE78CE">
            <w:pPr>
              <w:spacing w:line="400" w:lineRule="exact"/>
              <w:jc w:val="center"/>
              <w:rPr>
                <w:rFonts w:ascii="標楷體" w:hAnsi="標楷體"/>
                <w:sz w:val="28"/>
                <w:szCs w:val="28"/>
              </w:rPr>
            </w:pPr>
            <w:r w:rsidRPr="00514F80">
              <w:rPr>
                <w:rFonts w:ascii="標楷體" w:hAnsi="標楷體" w:hint="eastAsia"/>
                <w:sz w:val="28"/>
                <w:szCs w:val="28"/>
              </w:rPr>
              <w:t>頁次</w:t>
            </w:r>
          </w:p>
        </w:tc>
        <w:tc>
          <w:tcPr>
            <w:tcW w:w="1984" w:type="dxa"/>
          </w:tcPr>
          <w:p w:rsidR="003D0252" w:rsidRPr="00514F80" w:rsidRDefault="009C656A" w:rsidP="00CE78CE">
            <w:pPr>
              <w:spacing w:line="400" w:lineRule="exact"/>
              <w:jc w:val="center"/>
              <w:rPr>
                <w:rFonts w:ascii="標楷體" w:hAnsi="標楷體"/>
                <w:sz w:val="28"/>
                <w:szCs w:val="28"/>
              </w:rPr>
            </w:pPr>
            <w:r w:rsidRPr="00514F80">
              <w:rPr>
                <w:rFonts w:ascii="標楷體" w:hAnsi="標楷體" w:hint="eastAsia"/>
                <w:sz w:val="28"/>
                <w:szCs w:val="28"/>
              </w:rPr>
              <w:t>科目代號</w:t>
            </w:r>
          </w:p>
        </w:tc>
        <w:tc>
          <w:tcPr>
            <w:tcW w:w="3261" w:type="dxa"/>
          </w:tcPr>
          <w:p w:rsidR="003D0252" w:rsidRPr="00514F80" w:rsidRDefault="009C656A" w:rsidP="00CE78CE">
            <w:pPr>
              <w:spacing w:line="400" w:lineRule="exact"/>
              <w:jc w:val="center"/>
              <w:rPr>
                <w:rFonts w:ascii="標楷體" w:hAnsi="標楷體"/>
                <w:sz w:val="28"/>
                <w:szCs w:val="28"/>
              </w:rPr>
            </w:pPr>
            <w:r w:rsidRPr="00514F80">
              <w:rPr>
                <w:rFonts w:ascii="標楷體" w:hAnsi="標楷體" w:hint="eastAsia"/>
                <w:sz w:val="28"/>
                <w:szCs w:val="28"/>
              </w:rPr>
              <w:t>修正說明</w:t>
            </w:r>
          </w:p>
        </w:tc>
        <w:tc>
          <w:tcPr>
            <w:tcW w:w="2409" w:type="dxa"/>
          </w:tcPr>
          <w:p w:rsidR="003D0252" w:rsidRPr="00514F80" w:rsidRDefault="009C656A" w:rsidP="00CE78CE">
            <w:pPr>
              <w:spacing w:line="400" w:lineRule="exact"/>
              <w:jc w:val="center"/>
              <w:rPr>
                <w:rFonts w:ascii="標楷體" w:hAnsi="標楷體"/>
                <w:sz w:val="28"/>
                <w:szCs w:val="28"/>
              </w:rPr>
            </w:pPr>
            <w:r w:rsidRPr="00514F80">
              <w:rPr>
                <w:rFonts w:ascii="標楷體" w:hAnsi="標楷體" w:hint="eastAsia"/>
                <w:sz w:val="28"/>
                <w:szCs w:val="28"/>
              </w:rPr>
              <w:t>原說明</w:t>
            </w:r>
          </w:p>
        </w:tc>
      </w:tr>
      <w:tr w:rsidR="003D0252" w:rsidRPr="00514F80" w:rsidTr="00424B69">
        <w:trPr>
          <w:trHeight w:val="1310"/>
        </w:trPr>
        <w:tc>
          <w:tcPr>
            <w:tcW w:w="959" w:type="dxa"/>
          </w:tcPr>
          <w:p w:rsidR="003D0252" w:rsidRPr="00514F80" w:rsidRDefault="00424B69" w:rsidP="00CE78CE">
            <w:pPr>
              <w:spacing w:line="40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3-16</w:t>
            </w:r>
          </w:p>
        </w:tc>
        <w:tc>
          <w:tcPr>
            <w:tcW w:w="1984" w:type="dxa"/>
          </w:tcPr>
          <w:p w:rsidR="009C656A" w:rsidRPr="00514F80" w:rsidRDefault="009C656A" w:rsidP="009C656A">
            <w:pPr>
              <w:spacing w:line="40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 w:rsidRPr="00514F80">
              <w:rPr>
                <w:rFonts w:ascii="標楷體" w:hAnsi="標楷體" w:hint="eastAsia"/>
                <w:sz w:val="28"/>
                <w:szCs w:val="28"/>
              </w:rPr>
              <w:t>21003</w:t>
            </w:r>
          </w:p>
          <w:p w:rsidR="003D0252" w:rsidRPr="00514F80" w:rsidRDefault="009C656A" w:rsidP="009C656A">
            <w:pPr>
              <w:spacing w:line="40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 w:rsidRPr="00514F80">
              <w:rPr>
                <w:rFonts w:ascii="標楷體" w:hAnsi="標楷體" w:hint="eastAsia"/>
                <w:sz w:val="28"/>
                <w:szCs w:val="28"/>
              </w:rPr>
              <w:t>銀行同業存款</w:t>
            </w:r>
          </w:p>
        </w:tc>
        <w:tc>
          <w:tcPr>
            <w:tcW w:w="3261" w:type="dxa"/>
          </w:tcPr>
          <w:p w:rsidR="003D0252" w:rsidRPr="00514F80" w:rsidRDefault="009C656A" w:rsidP="00CE78CE">
            <w:pPr>
              <w:spacing w:line="40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 w:rsidRPr="00514F80">
              <w:rPr>
                <w:rFonts w:ascii="標楷體" w:hAnsi="標楷體" w:hint="eastAsia"/>
                <w:sz w:val="28"/>
                <w:szCs w:val="28"/>
              </w:rPr>
              <w:t>銀行同業因資金調撥及為便利相互往來而存入或代為</w:t>
            </w:r>
            <w:proofErr w:type="gramStart"/>
            <w:r w:rsidRPr="00514F80">
              <w:rPr>
                <w:rFonts w:ascii="標楷體" w:hAnsi="標楷體" w:hint="eastAsia"/>
                <w:sz w:val="28"/>
                <w:szCs w:val="28"/>
              </w:rPr>
              <w:t>收付等款項</w:t>
            </w:r>
            <w:proofErr w:type="gramEnd"/>
            <w:r w:rsidRPr="00514F80">
              <w:rPr>
                <w:rFonts w:ascii="標楷體" w:hAnsi="標楷體" w:hint="eastAsia"/>
                <w:sz w:val="28"/>
                <w:szCs w:val="28"/>
              </w:rPr>
              <w:t>屬之。</w:t>
            </w:r>
          </w:p>
        </w:tc>
        <w:tc>
          <w:tcPr>
            <w:tcW w:w="2409" w:type="dxa"/>
          </w:tcPr>
          <w:p w:rsidR="003D0252" w:rsidRPr="00514F80" w:rsidRDefault="009C656A" w:rsidP="00424B69">
            <w:pPr>
              <w:spacing w:line="400" w:lineRule="exact"/>
              <w:ind w:left="-6"/>
              <w:jc w:val="both"/>
              <w:rPr>
                <w:rFonts w:ascii="標楷體" w:hAnsi="標楷體"/>
                <w:sz w:val="28"/>
                <w:szCs w:val="28"/>
              </w:rPr>
            </w:pPr>
            <w:r w:rsidRPr="00514F80">
              <w:rPr>
                <w:rFonts w:ascii="標楷體" w:hAnsi="標楷體" w:hint="eastAsia"/>
                <w:sz w:val="28"/>
                <w:szCs w:val="28"/>
              </w:rPr>
              <w:t>主管機關核准之同業存入之款項屬之。</w:t>
            </w:r>
          </w:p>
        </w:tc>
      </w:tr>
    </w:tbl>
    <w:p w:rsidR="003D0252" w:rsidRDefault="003D0252" w:rsidP="003D0252">
      <w:pPr>
        <w:spacing w:line="400" w:lineRule="exact"/>
        <w:ind w:leftChars="12" w:left="582" w:hangingChars="195" w:hanging="546"/>
        <w:rPr>
          <w:rFonts w:ascii="標楷體" w:hAnsi="標楷體"/>
          <w:sz w:val="28"/>
          <w:szCs w:val="28"/>
        </w:rPr>
      </w:pPr>
    </w:p>
    <w:p w:rsidR="003D0252" w:rsidRDefault="003D0252" w:rsidP="003D0252">
      <w:pPr>
        <w:spacing w:line="440" w:lineRule="exact"/>
        <w:ind w:left="557" w:hangingChars="199" w:hanging="557"/>
        <w:rPr>
          <w:rFonts w:ascii="標楷體" w:hAnsi="標楷體"/>
          <w:sz w:val="28"/>
          <w:szCs w:val="28"/>
        </w:rPr>
      </w:pPr>
      <w:r w:rsidRPr="00B6138D">
        <w:rPr>
          <w:rFonts w:ascii="標楷體" w:hAnsi="標楷體" w:hint="eastAsia"/>
          <w:sz w:val="28"/>
          <w:szCs w:val="28"/>
        </w:rPr>
        <w:t>二、</w:t>
      </w:r>
      <w:r>
        <w:rPr>
          <w:rFonts w:ascii="標楷體" w:hAnsi="標楷體" w:hint="eastAsia"/>
          <w:sz w:val="28"/>
          <w:szCs w:val="28"/>
        </w:rPr>
        <w:t>配合所得稅法修正，修正「信用合作社會計作業規範範本」暨對照表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6"/>
        <w:gridCol w:w="3587"/>
        <w:gridCol w:w="4110"/>
      </w:tblGrid>
      <w:tr w:rsidR="00424B69" w:rsidTr="007F2C32">
        <w:tc>
          <w:tcPr>
            <w:tcW w:w="916" w:type="dxa"/>
          </w:tcPr>
          <w:p w:rsidR="00424B69" w:rsidRPr="00514F80" w:rsidRDefault="00424B69" w:rsidP="00CE78CE">
            <w:pPr>
              <w:spacing w:line="400" w:lineRule="exact"/>
              <w:jc w:val="center"/>
              <w:rPr>
                <w:rFonts w:ascii="標楷體" w:hAnsi="標楷體"/>
                <w:sz w:val="28"/>
                <w:szCs w:val="28"/>
              </w:rPr>
            </w:pPr>
            <w:r w:rsidRPr="00514F80">
              <w:rPr>
                <w:rFonts w:ascii="標楷體" w:hAnsi="標楷體" w:hint="eastAsia"/>
                <w:sz w:val="28"/>
                <w:szCs w:val="28"/>
              </w:rPr>
              <w:t>頁次</w:t>
            </w:r>
          </w:p>
        </w:tc>
        <w:tc>
          <w:tcPr>
            <w:tcW w:w="3587" w:type="dxa"/>
          </w:tcPr>
          <w:p w:rsidR="00424B69" w:rsidRPr="00514F80" w:rsidRDefault="00424B69" w:rsidP="00CE78CE">
            <w:pPr>
              <w:spacing w:line="400" w:lineRule="exact"/>
              <w:jc w:val="center"/>
              <w:rPr>
                <w:rFonts w:ascii="標楷體" w:hAnsi="標楷體"/>
                <w:sz w:val="28"/>
                <w:szCs w:val="28"/>
              </w:rPr>
            </w:pPr>
            <w:r w:rsidRPr="00514F80">
              <w:rPr>
                <w:rFonts w:ascii="標楷體" w:hAnsi="標楷體" w:hint="eastAsia"/>
                <w:sz w:val="28"/>
                <w:szCs w:val="28"/>
              </w:rPr>
              <w:t>修正內容</w:t>
            </w:r>
          </w:p>
        </w:tc>
        <w:tc>
          <w:tcPr>
            <w:tcW w:w="4110" w:type="dxa"/>
          </w:tcPr>
          <w:p w:rsidR="00424B69" w:rsidRPr="00514F80" w:rsidRDefault="00424B69" w:rsidP="00CE78CE">
            <w:pPr>
              <w:spacing w:line="400" w:lineRule="exact"/>
              <w:jc w:val="center"/>
              <w:rPr>
                <w:rFonts w:ascii="標楷體" w:hAnsi="標楷體"/>
                <w:sz w:val="28"/>
                <w:szCs w:val="28"/>
              </w:rPr>
            </w:pPr>
            <w:r w:rsidRPr="00514F80">
              <w:rPr>
                <w:rFonts w:ascii="標楷體" w:hAnsi="標楷體" w:hint="eastAsia"/>
                <w:sz w:val="28"/>
                <w:szCs w:val="28"/>
              </w:rPr>
              <w:t>原內容</w:t>
            </w:r>
          </w:p>
        </w:tc>
      </w:tr>
      <w:tr w:rsidR="00424B69" w:rsidRPr="001A568D" w:rsidTr="007F2C32">
        <w:tc>
          <w:tcPr>
            <w:tcW w:w="916" w:type="dxa"/>
          </w:tcPr>
          <w:p w:rsidR="00424B69" w:rsidRPr="001A568D" w:rsidRDefault="00424B69" w:rsidP="00CE78CE">
            <w:pPr>
              <w:spacing w:line="40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 w:rsidRPr="001A568D">
              <w:rPr>
                <w:rFonts w:ascii="標楷體" w:hAnsi="標楷體" w:hint="eastAsia"/>
                <w:sz w:val="28"/>
                <w:szCs w:val="28"/>
              </w:rPr>
              <w:t>1-4</w:t>
            </w:r>
          </w:p>
          <w:p w:rsidR="00424B69" w:rsidRPr="001A568D" w:rsidRDefault="00424B69" w:rsidP="00CE78CE">
            <w:pPr>
              <w:spacing w:line="400" w:lineRule="exact"/>
              <w:jc w:val="both"/>
              <w:rPr>
                <w:rFonts w:ascii="標楷體" w:hAnsi="標楷體"/>
                <w:sz w:val="28"/>
                <w:szCs w:val="28"/>
              </w:rPr>
            </w:pPr>
          </w:p>
          <w:p w:rsidR="00424B69" w:rsidRPr="001A568D" w:rsidRDefault="00424B69" w:rsidP="00CE78CE">
            <w:pPr>
              <w:spacing w:line="400" w:lineRule="exact"/>
              <w:jc w:val="both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3587" w:type="dxa"/>
          </w:tcPr>
          <w:p w:rsidR="00424B69" w:rsidRDefault="00424B69" w:rsidP="00CE78CE">
            <w:pPr>
              <w:spacing w:line="40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 w:rsidRPr="001A568D">
              <w:rPr>
                <w:rFonts w:ascii="標楷體" w:hAnsi="標楷體" w:hint="eastAsia"/>
                <w:sz w:val="28"/>
                <w:szCs w:val="28"/>
              </w:rPr>
              <w:t>参-六-(三)-4.稅務會計事務處理程序</w:t>
            </w:r>
            <w:r w:rsidRPr="001A568D">
              <w:rPr>
                <w:rFonts w:ascii="標楷體" w:hAnsi="標楷體"/>
                <w:sz w:val="28"/>
                <w:szCs w:val="28"/>
              </w:rPr>
              <w:t>…</w:t>
            </w:r>
            <w:r w:rsidRPr="001A568D">
              <w:rPr>
                <w:rFonts w:ascii="標楷體" w:hAnsi="標楷體" w:hint="eastAsia"/>
                <w:sz w:val="28"/>
                <w:szCs w:val="28"/>
              </w:rPr>
              <w:t>營利事業所得稅(含未分配盈餘加徵</w:t>
            </w:r>
            <w:r w:rsidRPr="001A568D">
              <w:rPr>
                <w:rFonts w:ascii="標楷體" w:hAnsi="標楷體" w:hint="eastAsia"/>
                <w:sz w:val="28"/>
                <w:szCs w:val="28"/>
                <w:u w:val="single"/>
              </w:rPr>
              <w:t>5%</w:t>
            </w:r>
            <w:r w:rsidRPr="001A568D">
              <w:rPr>
                <w:rFonts w:ascii="標楷體" w:hAnsi="標楷體" w:hint="eastAsia"/>
                <w:sz w:val="28"/>
                <w:szCs w:val="28"/>
              </w:rPr>
              <w:t>)</w:t>
            </w:r>
            <w:r w:rsidRPr="001A568D">
              <w:rPr>
                <w:rFonts w:ascii="標楷體" w:hAnsi="標楷體"/>
                <w:sz w:val="28"/>
                <w:szCs w:val="28"/>
              </w:rPr>
              <w:t>…</w:t>
            </w:r>
            <w:r w:rsidRPr="001A568D">
              <w:rPr>
                <w:rFonts w:ascii="標楷體" w:hAnsi="標楷體" w:hint="eastAsia"/>
                <w:sz w:val="28"/>
                <w:szCs w:val="28"/>
              </w:rPr>
              <w:t>。</w:t>
            </w:r>
          </w:p>
          <w:p w:rsidR="00424B69" w:rsidRPr="001A568D" w:rsidRDefault="00424B69" w:rsidP="00CE78CE">
            <w:pPr>
              <w:spacing w:line="400" w:lineRule="exact"/>
              <w:jc w:val="both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4110" w:type="dxa"/>
          </w:tcPr>
          <w:p w:rsidR="00424B69" w:rsidRDefault="00424B69" w:rsidP="00CE78CE">
            <w:pPr>
              <w:spacing w:line="40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 w:rsidRPr="001A568D">
              <w:rPr>
                <w:rFonts w:ascii="標楷體" w:hAnsi="標楷體" w:hint="eastAsia"/>
                <w:sz w:val="28"/>
                <w:szCs w:val="28"/>
              </w:rPr>
              <w:t>参-六-(三)-4.稅務會計事務處理程序</w:t>
            </w:r>
            <w:r w:rsidRPr="001A568D">
              <w:rPr>
                <w:rFonts w:ascii="標楷體" w:hAnsi="標楷體"/>
                <w:sz w:val="28"/>
                <w:szCs w:val="28"/>
              </w:rPr>
              <w:t>…</w:t>
            </w:r>
            <w:r w:rsidRPr="001A568D">
              <w:rPr>
                <w:rFonts w:ascii="標楷體" w:hAnsi="標楷體" w:hint="eastAsia"/>
                <w:sz w:val="28"/>
                <w:szCs w:val="28"/>
              </w:rPr>
              <w:t>營利事業所得稅(含未分配盈餘加徵</w:t>
            </w:r>
            <w:r w:rsidRPr="001A568D">
              <w:rPr>
                <w:rFonts w:ascii="標楷體" w:hAnsi="標楷體" w:hint="eastAsia"/>
                <w:sz w:val="28"/>
                <w:szCs w:val="28"/>
                <w:u w:val="single"/>
              </w:rPr>
              <w:t>10%</w:t>
            </w:r>
            <w:r w:rsidRPr="001A568D">
              <w:rPr>
                <w:rFonts w:ascii="標楷體" w:hAnsi="標楷體" w:hint="eastAsia"/>
                <w:sz w:val="28"/>
                <w:szCs w:val="28"/>
              </w:rPr>
              <w:t>及</w:t>
            </w:r>
            <w:r w:rsidRPr="001A568D">
              <w:rPr>
                <w:rFonts w:ascii="標楷體" w:hAnsi="標楷體" w:hint="eastAsia"/>
                <w:sz w:val="28"/>
                <w:szCs w:val="28"/>
                <w:u w:val="single"/>
              </w:rPr>
              <w:t>社員可扣抵稅額</w:t>
            </w:r>
            <w:r w:rsidRPr="001A568D">
              <w:rPr>
                <w:rFonts w:ascii="標楷體" w:hAnsi="標楷體" w:hint="eastAsia"/>
                <w:sz w:val="28"/>
                <w:szCs w:val="28"/>
              </w:rPr>
              <w:t>)</w:t>
            </w:r>
            <w:r w:rsidRPr="001A568D">
              <w:rPr>
                <w:rFonts w:ascii="標楷體" w:hAnsi="標楷體"/>
                <w:sz w:val="28"/>
                <w:szCs w:val="28"/>
              </w:rPr>
              <w:t>…</w:t>
            </w:r>
            <w:r w:rsidRPr="001A568D">
              <w:rPr>
                <w:rFonts w:ascii="標楷體" w:hAnsi="標楷體" w:hint="eastAsia"/>
                <w:sz w:val="28"/>
                <w:szCs w:val="28"/>
              </w:rPr>
              <w:t>。</w:t>
            </w:r>
          </w:p>
          <w:p w:rsidR="007F2C32" w:rsidRPr="001A568D" w:rsidRDefault="007F2C32" w:rsidP="00CE78CE">
            <w:pPr>
              <w:spacing w:line="400" w:lineRule="exact"/>
              <w:jc w:val="both"/>
              <w:rPr>
                <w:rFonts w:ascii="標楷體" w:hAnsi="標楷體"/>
                <w:sz w:val="28"/>
                <w:szCs w:val="28"/>
              </w:rPr>
            </w:pPr>
          </w:p>
        </w:tc>
      </w:tr>
      <w:tr w:rsidR="00424B69" w:rsidRPr="001A568D" w:rsidTr="007F2C32">
        <w:tc>
          <w:tcPr>
            <w:tcW w:w="916" w:type="dxa"/>
          </w:tcPr>
          <w:p w:rsidR="00424B69" w:rsidRPr="001A568D" w:rsidRDefault="00424B69" w:rsidP="00CE78CE">
            <w:pPr>
              <w:spacing w:line="40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 w:rsidRPr="001A568D">
              <w:rPr>
                <w:rFonts w:ascii="標楷體" w:hAnsi="標楷體" w:hint="eastAsia"/>
                <w:sz w:val="28"/>
                <w:szCs w:val="28"/>
              </w:rPr>
              <w:t>6-105</w:t>
            </w:r>
          </w:p>
          <w:p w:rsidR="00424B69" w:rsidRPr="001A568D" w:rsidRDefault="00424B69" w:rsidP="00CE78CE">
            <w:pPr>
              <w:spacing w:line="40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 w:rsidRPr="001A568D">
              <w:rPr>
                <w:rFonts w:ascii="標楷體" w:hAnsi="標楷體" w:hint="eastAsia"/>
                <w:sz w:val="28"/>
                <w:szCs w:val="28"/>
              </w:rPr>
              <w:t>6-106</w:t>
            </w:r>
          </w:p>
          <w:p w:rsidR="00424B69" w:rsidRPr="001A568D" w:rsidRDefault="00424B69" w:rsidP="00CE78CE">
            <w:pPr>
              <w:spacing w:line="400" w:lineRule="exact"/>
              <w:jc w:val="both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3587" w:type="dxa"/>
          </w:tcPr>
          <w:p w:rsidR="00424B69" w:rsidRPr="001A568D" w:rsidRDefault="00424B69" w:rsidP="00CE78CE">
            <w:pPr>
              <w:spacing w:line="400" w:lineRule="exact"/>
              <w:ind w:leftChars="-18" w:left="352" w:hangingChars="145" w:hanging="406"/>
              <w:jc w:val="both"/>
              <w:rPr>
                <w:rFonts w:ascii="標楷體" w:hAnsi="標楷體"/>
                <w:sz w:val="28"/>
                <w:szCs w:val="28"/>
              </w:rPr>
            </w:pPr>
            <w:r w:rsidRPr="001A568D">
              <w:rPr>
                <w:rFonts w:ascii="標楷體" w:hAnsi="標楷體" w:hint="eastAsia"/>
                <w:sz w:val="28"/>
                <w:szCs w:val="28"/>
              </w:rPr>
              <w:t>1、刪除</w:t>
            </w:r>
            <w:r w:rsidR="007F2C32">
              <w:rPr>
                <w:rFonts w:ascii="標楷體" w:hAnsi="標楷體" w:hint="eastAsia"/>
                <w:sz w:val="28"/>
                <w:szCs w:val="28"/>
              </w:rPr>
              <w:t>。</w:t>
            </w:r>
          </w:p>
          <w:p w:rsidR="00424B69" w:rsidRDefault="00424B69" w:rsidP="00B02A3E">
            <w:pPr>
              <w:spacing w:line="400" w:lineRule="exact"/>
              <w:ind w:leftChars="-16" w:left="316" w:hangingChars="130" w:hanging="364"/>
              <w:jc w:val="both"/>
              <w:rPr>
                <w:rFonts w:ascii="標楷體" w:hAnsi="標楷體"/>
                <w:sz w:val="28"/>
                <w:szCs w:val="28"/>
              </w:rPr>
            </w:pPr>
            <w:r w:rsidRPr="001A568D">
              <w:rPr>
                <w:rFonts w:ascii="標楷體" w:hAnsi="標楷體" w:hint="eastAsia"/>
                <w:sz w:val="28"/>
                <w:szCs w:val="28"/>
              </w:rPr>
              <w:t>2、肆-四-未指撥保留盈餘之會計處理</w:t>
            </w:r>
            <w:r w:rsidRPr="001A568D">
              <w:rPr>
                <w:rFonts w:ascii="標楷體" w:hAnsi="標楷體"/>
                <w:sz w:val="28"/>
                <w:szCs w:val="28"/>
              </w:rPr>
              <w:t>…</w:t>
            </w:r>
            <w:r w:rsidRPr="001A568D">
              <w:rPr>
                <w:rFonts w:ascii="標楷體" w:hAnsi="標楷體" w:hint="eastAsia"/>
                <w:sz w:val="28"/>
                <w:szCs w:val="28"/>
              </w:rPr>
              <w:t>應就每一年度未指撥保留盈餘加徵</w:t>
            </w:r>
            <w:r w:rsidRPr="001A568D">
              <w:rPr>
                <w:rFonts w:ascii="標楷體" w:hAnsi="標楷體" w:hint="eastAsia"/>
                <w:sz w:val="28"/>
                <w:szCs w:val="28"/>
                <w:u w:val="single"/>
              </w:rPr>
              <w:t>5%</w:t>
            </w:r>
            <w:r w:rsidRPr="001A568D">
              <w:rPr>
                <w:rFonts w:ascii="標楷體" w:hAnsi="標楷體" w:hint="eastAsia"/>
                <w:sz w:val="28"/>
                <w:szCs w:val="28"/>
              </w:rPr>
              <w:t>營利事業所得稅。</w:t>
            </w:r>
          </w:p>
          <w:p w:rsidR="00424B69" w:rsidRPr="001A568D" w:rsidRDefault="00424B69" w:rsidP="00CE78CE">
            <w:pPr>
              <w:spacing w:line="400" w:lineRule="exact"/>
              <w:ind w:leftChars="-13" w:left="364" w:hangingChars="144" w:hanging="403"/>
              <w:jc w:val="both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4110" w:type="dxa"/>
          </w:tcPr>
          <w:p w:rsidR="00424B69" w:rsidRPr="001A568D" w:rsidRDefault="00424B69" w:rsidP="00CE78CE">
            <w:pPr>
              <w:spacing w:line="400" w:lineRule="exact"/>
              <w:ind w:leftChars="-18" w:left="352" w:hangingChars="145" w:hanging="406"/>
              <w:jc w:val="both"/>
              <w:rPr>
                <w:rFonts w:ascii="標楷體" w:hAnsi="標楷體"/>
                <w:sz w:val="28"/>
                <w:szCs w:val="28"/>
              </w:rPr>
            </w:pPr>
            <w:r w:rsidRPr="001A568D">
              <w:rPr>
                <w:rFonts w:ascii="標楷體" w:hAnsi="標楷體" w:hint="eastAsia"/>
                <w:sz w:val="28"/>
                <w:szCs w:val="28"/>
              </w:rPr>
              <w:t>1、肆-四-(</w:t>
            </w:r>
            <w:proofErr w:type="gramStart"/>
            <w:r w:rsidRPr="001A568D">
              <w:rPr>
                <w:rFonts w:ascii="標楷體" w:hAnsi="標楷體" w:hint="eastAsia"/>
                <w:sz w:val="28"/>
                <w:szCs w:val="28"/>
              </w:rPr>
              <w:t>一</w:t>
            </w:r>
            <w:proofErr w:type="gramEnd"/>
            <w:r w:rsidRPr="001A568D">
              <w:rPr>
                <w:rFonts w:ascii="標楷體" w:hAnsi="標楷體" w:hint="eastAsia"/>
                <w:sz w:val="28"/>
                <w:szCs w:val="28"/>
              </w:rPr>
              <w:t>)社員可扣抵額</w:t>
            </w:r>
            <w:r w:rsidRPr="001A568D">
              <w:rPr>
                <w:rFonts w:ascii="標楷體" w:hAnsi="標楷體"/>
                <w:sz w:val="28"/>
                <w:szCs w:val="28"/>
              </w:rPr>
              <w:t>…</w:t>
            </w:r>
            <w:r w:rsidR="007F2C32">
              <w:rPr>
                <w:rFonts w:ascii="標楷體" w:hAnsi="標楷體" w:hint="eastAsia"/>
                <w:sz w:val="28"/>
                <w:szCs w:val="28"/>
              </w:rPr>
              <w:t>。</w:t>
            </w:r>
          </w:p>
          <w:p w:rsidR="00424B69" w:rsidRPr="001A568D" w:rsidRDefault="00424B69" w:rsidP="00B02A3E">
            <w:pPr>
              <w:spacing w:line="400" w:lineRule="exact"/>
              <w:ind w:leftChars="-13" w:left="269" w:hangingChars="110" w:hanging="308"/>
              <w:jc w:val="both"/>
              <w:rPr>
                <w:rFonts w:ascii="標楷體" w:hAnsi="標楷體"/>
                <w:sz w:val="28"/>
                <w:szCs w:val="28"/>
              </w:rPr>
            </w:pPr>
            <w:r w:rsidRPr="001A568D">
              <w:rPr>
                <w:rFonts w:ascii="標楷體" w:hAnsi="標楷體" w:hint="eastAsia"/>
                <w:sz w:val="28"/>
                <w:szCs w:val="28"/>
              </w:rPr>
              <w:t>2、肆-四-(二)未指撥保留盈餘之會計處理</w:t>
            </w:r>
            <w:r w:rsidRPr="001A568D">
              <w:rPr>
                <w:rFonts w:ascii="標楷體" w:hAnsi="標楷體"/>
                <w:sz w:val="28"/>
                <w:szCs w:val="28"/>
              </w:rPr>
              <w:t>…</w:t>
            </w:r>
            <w:r w:rsidRPr="001A568D">
              <w:rPr>
                <w:rFonts w:ascii="標楷體" w:hAnsi="標楷體" w:hint="eastAsia"/>
                <w:sz w:val="28"/>
                <w:szCs w:val="28"/>
              </w:rPr>
              <w:t>應就每一年度未指撥保留盈餘加徵</w:t>
            </w:r>
            <w:r w:rsidRPr="001A568D">
              <w:rPr>
                <w:rFonts w:ascii="標楷體" w:hAnsi="標楷體" w:hint="eastAsia"/>
                <w:sz w:val="28"/>
                <w:szCs w:val="28"/>
                <w:u w:val="single"/>
              </w:rPr>
              <w:t>10%</w:t>
            </w:r>
            <w:r w:rsidRPr="001A568D">
              <w:rPr>
                <w:rFonts w:ascii="標楷體" w:hAnsi="標楷體" w:hint="eastAsia"/>
                <w:sz w:val="28"/>
                <w:szCs w:val="28"/>
              </w:rPr>
              <w:t>營利事業所得稅。</w:t>
            </w:r>
          </w:p>
        </w:tc>
      </w:tr>
    </w:tbl>
    <w:p w:rsidR="00C82029" w:rsidRPr="003D0252" w:rsidRDefault="00C82029"/>
    <w:sectPr w:rsidR="00C82029" w:rsidRPr="003D0252" w:rsidSect="00C8202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84E" w:rsidRDefault="00FD684E" w:rsidP="006174AB">
      <w:pPr>
        <w:spacing w:line="240" w:lineRule="auto"/>
      </w:pPr>
      <w:r>
        <w:separator/>
      </w:r>
    </w:p>
  </w:endnote>
  <w:endnote w:type="continuationSeparator" w:id="0">
    <w:p w:rsidR="00FD684E" w:rsidRDefault="00FD684E" w:rsidP="006174A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84E" w:rsidRDefault="00FD684E" w:rsidP="006174AB">
      <w:pPr>
        <w:spacing w:line="240" w:lineRule="auto"/>
      </w:pPr>
      <w:r>
        <w:separator/>
      </w:r>
    </w:p>
  </w:footnote>
  <w:footnote w:type="continuationSeparator" w:id="0">
    <w:p w:rsidR="00FD684E" w:rsidRDefault="00FD684E" w:rsidP="006174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62BC9"/>
    <w:multiLevelType w:val="hybridMultilevel"/>
    <w:tmpl w:val="E650302A"/>
    <w:lvl w:ilvl="0" w:tplc="0FD6DB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31632DD"/>
    <w:multiLevelType w:val="hybridMultilevel"/>
    <w:tmpl w:val="32D0BCFC"/>
    <w:lvl w:ilvl="0" w:tplc="0FD6DB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65873184"/>
    <w:multiLevelType w:val="hybridMultilevel"/>
    <w:tmpl w:val="923A2EAC"/>
    <w:lvl w:ilvl="0" w:tplc="E9E23772">
      <w:start w:val="1"/>
      <w:numFmt w:val="decimal"/>
      <w:lvlText w:val="%1."/>
      <w:lvlJc w:val="left"/>
      <w:pPr>
        <w:ind w:left="456" w:hanging="4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0252"/>
    <w:rsid w:val="00066A6D"/>
    <w:rsid w:val="00132ADF"/>
    <w:rsid w:val="00320DD1"/>
    <w:rsid w:val="003D0252"/>
    <w:rsid w:val="00424B69"/>
    <w:rsid w:val="006174AB"/>
    <w:rsid w:val="00791473"/>
    <w:rsid w:val="007F2C32"/>
    <w:rsid w:val="00863450"/>
    <w:rsid w:val="008A7A2A"/>
    <w:rsid w:val="008D2D25"/>
    <w:rsid w:val="008F21B6"/>
    <w:rsid w:val="009C656A"/>
    <w:rsid w:val="00B02A3E"/>
    <w:rsid w:val="00C53FCD"/>
    <w:rsid w:val="00C82029"/>
    <w:rsid w:val="00D0548C"/>
    <w:rsid w:val="00D7453B"/>
    <w:rsid w:val="00E77355"/>
    <w:rsid w:val="00FD6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252"/>
    <w:pPr>
      <w:widowControl w:val="0"/>
      <w:adjustRightInd w:val="0"/>
      <w:spacing w:line="360" w:lineRule="atLeast"/>
      <w:textAlignment w:val="baseline"/>
    </w:pPr>
    <w:rPr>
      <w:rFonts w:ascii="Times New Roman" w:eastAsia="標楷體" w:hAnsi="Times New Roman" w:cs="Times New Roman"/>
      <w:kern w:val="0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174A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semiHidden/>
    <w:rsid w:val="006174AB"/>
    <w:rPr>
      <w:rFonts w:ascii="Times New Roman" w:eastAsia="標楷體" w:hAnsi="Times New Roman" w:cs="Times New Roman"/>
      <w:kern w:val="0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6174A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semiHidden/>
    <w:rsid w:val="006174AB"/>
    <w:rPr>
      <w:rFonts w:ascii="Times New Roman" w:eastAsia="標楷體" w:hAnsi="Times New Roman" w:cs="Times New Roman"/>
      <w:kern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2019-02-27T06:52:00Z</cp:lastPrinted>
  <dcterms:created xsi:type="dcterms:W3CDTF">2019-02-27T05:54:00Z</dcterms:created>
  <dcterms:modified xsi:type="dcterms:W3CDTF">2019-03-04T09:13:00Z</dcterms:modified>
</cp:coreProperties>
</file>